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w14="http://schemas.microsoft.com/office/word/2010/wordml" xmlns:mc="http://schemas.openxmlformats.org/markup-compatibility/2006" mc:Ignorable="w14">
  <w:body>
    <w:p>
      <w:pPr>
        <w:pStyle w:val="Title"/>
      </w:pPr>
      <w:r>
        <w:t xml:space="preserve">Software Lifecycle Check — synthetic demo (checked_on 2026-10-24)</w:t>
      </w:r>
    </w:p>
    <w:p>
      <w:r>
        <w:t xml:space="preserve">Inputs: the tool's synthetic demo inventory (</w:t>
      </w:r>
      <w:r>
        <w:rPr>
          <w:rFonts w:ascii="Consolas" w:hAnsi="Consolas"/>
        </w:rPr>
        <w:t xml:space="preserve">examples/software-inventory.csv</w:t>
      </w:r>
      <w:r>
        <w:t xml:space="preserve"> at the pinned commit, 60 rows) and its synthetic test data. Every product, publisher, and owner in it is fictional. The agent saw only the summary count lines. Nothing here comes from a real inventory.</w:t>
      </w:r>
    </w:p>
    <w:p>
      <w:pPr>
        <w:pStyle w:val="Heading2"/>
      </w:pPr>
      <w:r>
        <w:t xml:space="preserve">Data currency</w:t>
      </w:r>
    </w:p>
    <w:p>
      <w:r>
        <w:t xml:space="preserve">Checked on 2026-10-24. KEV data current: yes (synthetic demo data). </w:t>
      </w:r>
      <w:r>
        <w:rPr>
          <w:b/>
        </w:rPr>
        <w:t xml:space="preserve">Unverified:</w:t>
      </w:r>
      <w:r>
        <w:t xml:space="preserve"> the counts come from an earlier release of the tool and were not re-run on v0.7.0.</w:t>
      </w:r>
    </w:p>
    <w:p>
      <w:pPr>
        <w:pStyle w:val="Heading2"/>
      </w:pPr>
      <w:r>
        <w:t xml:space="preserve">Summary counts</w:t>
      </w:r>
    </w:p>
    <w:tbl>
      <w:tblPr>
        <w:tblW w:w="1008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60" w:type="dxa"/>
          <w:left w:w="100" w:type="dxa"/>
          <w:bottom w:w="60" w:type="dxa"/>
          <w:right w:w="100" w:type="dxa"/>
        </w:tblCellMar>
      </w:tblPr>
      <w:tblGrid>
        <w:gridCol w:w="5040"/>
        <w:gridCol w:w="5040"/>
      </w:tblGrid>
      <w:tr>
        <w:trPr>
          <w:cantSplit/>
          <w:tblHeader/>
        </w:trPr>
        <w:tc>
          <w:tcPr>
            <w:tcW w:w="5040" w:type="dxa"/>
            <w:shd w:val="clear" w:color="auto" w:fill="D9E2E7"/>
          </w:tcPr>
          <w:p>
            <w:pPr>
              <w:spacing w:after="0"/>
            </w:pPr>
            <w:r>
              <w:rPr>
                <w:b/>
              </w:rPr>
              <w:t xml:space="preserve">measure</w:t>
            </w:r>
          </w:p>
        </w:tc>
        <w:tc>
          <w:tcPr>
            <w:tcW w:w="5040" w:type="dxa"/>
            <w:shd w:val="clear" w:color="auto" w:fill="D9E2E7"/>
          </w:tcPr>
          <w:p>
            <w:pPr>
              <w:spacing w:after="0"/>
            </w:pPr>
            <w:r>
              <w:rPr>
                <w:b/>
              </w:rPr>
              <w:t xml:space="preserve">count</w:t>
            </w:r>
          </w:p>
        </w:tc>
      </w:tr>
      <w:tr>
        <w:trPr>
          <w:cantSplit/>
          <w:trHeight w:val="480" w:hRule="atLeast"/>
        </w:trPr>
        <w:tc>
          <w:tcPr>
            <w:tcW w:w="5040" w:type="dxa"/>
          </w:tcPr>
          <w:p>
            <w:pPr>
              <w:spacing w:after="0"/>
            </w:pPr>
            <w:r>
              <w:t xml:space="preserve">items from rows</w:t>
            </w:r>
          </w:p>
        </w:tc>
        <w:tc>
          <w:tcPr>
            <w:tcW w:w="5040" w:type="dxa"/>
          </w:tcPr>
          <w:p>
            <w:pPr>
              <w:spacing w:after="0"/>
            </w:pPr>
            <w:r>
              <w:t xml:space="preserve">50 items from 60 rows</w:t>
            </w:r>
          </w:p>
        </w:tc>
      </w:tr>
      <w:tr>
        <w:trPr>
          <w:cantSplit/>
          <w:trHeight w:val="480" w:hRule="atLeast"/>
        </w:trPr>
        <w:tc>
          <w:tcPr>
            <w:tcW w:w="5040" w:type="dxa"/>
          </w:tcPr>
          <w:p>
            <w:pPr>
              <w:spacing w:after="0"/>
            </w:pPr>
            <w:r>
              <w:t xml:space="preserve">past end of life</w:t>
            </w:r>
          </w:p>
        </w:tc>
        <w:tc>
          <w:tcPr>
            <w:tcW w:w="5040" w:type="dxa"/>
          </w:tcPr>
          <w:p>
            <w:pPr>
              <w:spacing w:after="0"/>
            </w:pPr>
            <w:r>
              <w:t xml:space="preserve">8</w:t>
            </w:r>
          </w:p>
        </w:tc>
      </w:tr>
      <w:tr>
        <w:trPr>
          <w:cantSplit/>
          <w:trHeight w:val="480" w:hRule="atLeast"/>
        </w:trPr>
        <w:tc>
          <w:tcPr>
            <w:tcW w:w="5040" w:type="dxa"/>
          </w:tcPr>
          <w:p>
            <w:pPr>
              <w:spacing w:after="0"/>
            </w:pPr>
            <w:r>
              <w:t xml:space="preserve">ends within 12 months</w:t>
            </w:r>
          </w:p>
        </w:tc>
        <w:tc>
          <w:tcPr>
            <w:tcW w:w="5040" w:type="dxa"/>
          </w:tcPr>
          <w:p>
            <w:pPr>
              <w:spacing w:after="0"/>
            </w:pPr>
            <w:r>
              <w:t xml:space="preserve">5</w:t>
            </w:r>
          </w:p>
        </w:tc>
      </w:tr>
      <w:tr>
        <w:trPr>
          <w:cantSplit/>
          <w:trHeight w:val="480" w:hRule="atLeast"/>
        </w:trPr>
        <w:tc>
          <w:tcPr>
            <w:tcW w:w="5040" w:type="dxa"/>
          </w:tcPr>
          <w:p>
            <w:pPr>
              <w:spacing w:after="0"/>
            </w:pPr>
            <w:r>
              <w:t xml:space="preserve">mainstream support ended</w:t>
            </w:r>
          </w:p>
        </w:tc>
        <w:tc>
          <w:tcPr>
            <w:tcW w:w="5040" w:type="dxa"/>
          </w:tcPr>
          <w:p>
            <w:pPr>
              <w:spacing w:after="0"/>
            </w:pPr>
            <w:r>
              <w:t xml:space="preserve">1</w:t>
            </w:r>
          </w:p>
        </w:tc>
      </w:tr>
      <w:tr>
        <w:trPr>
          <w:cantSplit/>
          <w:trHeight w:val="480" w:hRule="atLeast"/>
        </w:trPr>
        <w:tc>
          <w:tcPr>
            <w:tcW w:w="5040" w:type="dxa"/>
          </w:tcPr>
          <w:p>
            <w:pPr>
              <w:spacing w:after="0"/>
            </w:pPr>
            <w:r>
              <w:t xml:space="preserve">supported</w:t>
            </w:r>
          </w:p>
        </w:tc>
        <w:tc>
          <w:tcPr>
            <w:tcW w:w="5040" w:type="dxa"/>
          </w:tcPr>
          <w:p>
            <w:pPr>
              <w:spacing w:after="0"/>
            </w:pPr>
            <w:r>
              <w:t xml:space="preserve">25</w:t>
            </w:r>
          </w:p>
        </w:tc>
      </w:tr>
      <w:tr>
        <w:trPr>
          <w:cantSplit/>
          <w:trHeight w:val="480" w:hRule="atLeast"/>
        </w:trPr>
        <w:tc>
          <w:tcPr>
            <w:tcW w:w="5040" w:type="dxa"/>
          </w:tcPr>
          <w:p>
            <w:pPr>
              <w:spacing w:after="0"/>
            </w:pPr>
            <w:r>
              <w:t xml:space="preserve">unmatched</w:t>
            </w:r>
          </w:p>
        </w:tc>
        <w:tc>
          <w:tcPr>
            <w:tcW w:w="5040" w:type="dxa"/>
          </w:tcPr>
          <w:p>
            <w:pPr>
              <w:spacing w:after="0"/>
            </w:pPr>
            <w:r>
              <w:t xml:space="preserve">11</w:t>
            </w:r>
          </w:p>
        </w:tc>
      </w:tr>
      <w:tr>
        <w:trPr>
          <w:cantSplit/>
          <w:trHeight w:val="480" w:hRule="atLeast"/>
        </w:trPr>
        <w:tc>
          <w:tcPr>
            <w:tcW w:w="5040" w:type="dxa"/>
          </w:tcPr>
          <w:p>
            <w:pPr>
              <w:spacing w:after="0"/>
            </w:pPr>
            <w:r>
              <w:t xml:space="preserve">names to review</w:t>
            </w:r>
          </w:p>
        </w:tc>
        <w:tc>
          <w:tcPr>
            <w:tcW w:w="5040" w:type="dxa"/>
          </w:tcPr>
          <w:p>
            <w:pPr>
              <w:spacing w:after="0"/>
            </w:pPr>
            <w:r>
              <w:t xml:space="preserve">1 (unmatched on purpose, not a finding)</w:t>
            </w:r>
          </w:p>
        </w:tc>
      </w:tr>
    </w:tbl>
    <w:p>
      <w:pPr>
        <w:spacing w:after="0"/>
      </w:pPr>
    </w:p>
    <w:p>
      <w:r>
        <w:t xml:space="preserve">Classification: governable 40, component 0, bundle member 3, unknown 7 </w:t>
      </w:r>
      <w:r>
        <w:rPr>
          <w:b/>
        </w:rPr>
        <w:t xml:space="preserve">XW-001</w:t>
      </w:r>
      <w:r>
        <w:t xml:space="preserve"> </w:t>
      </w:r>
      <w:r>
        <w:rPr>
          <w:b/>
        </w:rPr>
        <w:t xml:space="preserve">XW-009</w:t>
      </w:r>
      <w:r>
        <w:t xml:space="preserve">.</w:t>
      </w:r>
    </w:p>
    <w:p>
      <w:r>
        <w:t xml:space="preserve">Unmatched does not mean safe. No date is claimed for those items. Item IDs are not relayed; the person reads each list in </w:t>
      </w:r>
      <w:r>
        <w:t xml:space="preserve">Report</w:t>
      </w:r>
      <w:r>
        <w:t xml:space="preserve"> themselves </w:t>
      </w:r>
      <w:r>
        <w:rPr>
          <w:b/>
        </w:rPr>
        <w:t xml:space="preserve">XW-026</w:t>
      </w:r>
      <w:r>
        <w:t xml:space="preserve">.</w:t>
      </w:r>
    </w:p>
    <w:p>
      <w:r>
        <w:t xml:space="preserve">The vendor and product appear in CISA KEV. This does not mean your version is affected </w:t>
      </w:r>
      <w:r>
        <w:rPr>
          <w:b/>
        </w:rPr>
        <w:t xml:space="preserve">XW-024</w:t>
      </w:r>
      <w:r>
        <w:t xml:space="preserve">.</w:t>
      </w:r>
    </w:p>
    <w:p>
      <w:pPr>
        <w:pStyle w:val="Heading2"/>
      </w:pPr>
      <w:r>
        <w:t xml:space="preserve">Open decisions</w:t>
      </w:r>
    </w:p>
    <w:p>
      <w:r>
        <w:rPr>
          <w:b/>
        </w:rPr>
        <w:t xml:space="preserve">Decision needed:</w:t>
      </w:r>
      <w:r>
        <w:t xml:space="preserve"> for each past-end-of-life or ends-soon item, the asset owner chooses replace, upgrade, retire, or request risk acceptance </w:t>
      </w:r>
      <w:r>
        <w:rPr>
          <w:b/>
        </w:rPr>
        <w:t xml:space="preserve">XW-009</w:t>
      </w:r>
      <w:r>
        <w:t xml:space="preserve"> </w:t>
      </w:r>
      <w:r>
        <w:rPr>
          <w:b/>
        </w:rPr>
        <w:t xml:space="preserve">XW-010</w:t>
      </w:r>
      <w:r>
        <w:t xml:space="preserve">.</w:t>
      </w:r>
    </w:p>
    <w:p>
      <w:r>
        <w:rPr>
          <w:b/>
        </w:rPr>
        <w:t xml:space="preserve">Decision needed:</w:t>
      </w:r>
      <w:r>
        <w:t xml:space="preserve"> a person checks each review-urgently version against the KEV entries and sets the priority </w:t>
      </w:r>
      <w:r>
        <w:rPr>
          <w:b/>
        </w:rPr>
        <w:t xml:space="preserve">XW-024</w:t>
      </w:r>
      <w:r>
        <w:t xml:space="preserve">.</w:t>
      </w:r>
    </w:p>
    <w:p>
      <w:r>
        <w:t xml:space="preserve">``</w:t>
      </w:r>
      <w:r>
        <w:rPr>
          <w:rFonts w:ascii="Consolas" w:hAnsi="Consolas"/>
        </w:rPr>
        <w:t xml:space="preserve">findings [] </w:t>
      </w:r>
      <w:r>
        <w:t xml:space="preserve">``</w:t>
      </w:r>
    </w:p>
    <w:sectPr>
      <w:pgSz w:w="12240" w:h="15840"/>
      <w:pgMar w:top="1080" w:right="1080" w:bottom="1080" w:left="1080" w:header="720" w:footer="720" w:gutter="0"/>
    </w:sectPr>
  </w:body>
</w:document>
</file>

<file path=word/styles.xml><?xml version="1.0" encoding="utf-8"?>
<w:styles xmlns:w="http://schemas.openxmlformats.org/wordprocessingml/2006/main">
  <w:docDefaults>
    <w:rPrDefault>
      <w:rPr>
        <w:rFonts w:ascii="Calibri" w:hAnsi="Calibri" w:cs="Calibri"/>
        <w:sz w:val="22"/>
      </w:rPr>
    </w:rPrDefault>
    <w:pPrDefault>
      <w:pPr>
        <w:spacing w:after="120" w:line="264" w:lineRule="auto"/>
      </w:pPr>
    </w:pPrDefault>
  </w:docDefaults>
  <w:style w:type="paragraph" w:default="1" w:styleId="Normal">
    <w:name w:val="Normal"/>
  </w:style>
  <w:style w:type="paragraph" w:styleId="Title">
    <w:name w:val="Title"/>
    <w:basedOn w:val="Normal"/>
    <w:next w:val="Normal"/>
    <w:qFormat/>
    <w:pPr>
      <w:keepNext/>
      <w:spacing w:before="0" w:after="120"/>
    </w:pPr>
    <w:rPr>
      <w:b/>
      <w:sz w:val="44"/>
    </w:rPr>
  </w:style>
  <w:style w:type="paragraph" w:styleId="Heading2">
    <w:name w:val="heading 2"/>
    <w:basedOn w:val="Normal"/>
    <w:next w:val="Normal"/>
    <w:qFormat/>
    <w:pPr>
      <w:keepNext/>
      <w:spacing w:before="280" w:after="120"/>
      <w:outlineLvl w:val="1"/>
    </w:pPr>
    <w:rPr>
      <w:b/>
      <w:sz w:val="30"/>
    </w:rPr>
  </w:style>
  <w:style w:type="paragraph" w:styleId="Heading3">
    <w:name w:val="heading 3"/>
    <w:basedOn w:val="Normal"/>
    <w:next w:val="Normal"/>
    <w:qFormat/>
    <w:pPr>
      <w:keepNext/>
      <w:spacing w:before="280" w:after="120"/>
      <w:outlineLvl w:val="2"/>
    </w:pPr>
    <w:rPr>
      <w:b/>
      <w:sz w:val="26"/>
    </w:rPr>
  </w:style>
  <w:style w:type="paragraph" w:styleId="Heading4">
    <w:name w:val="heading 4"/>
    <w:basedOn w:val="Normal"/>
    <w:next w:val="Normal"/>
    <w:qFormat/>
    <w:pPr>
      <w:keepNext/>
      <w:spacing w:before="280" w:after="120"/>
      <w:outlineLvl w:val="3"/>
    </w:pPr>
    <w:rPr>
      <w:b/>
      <w:sz w:val="24"/>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