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Internal audit and management review checklist</w:t>
      </w:r>
    </w:p>
    <w:p>
      <w:r>
        <w:t xml:space="preserve">A working checklist for the two review steps in ISO/IEC 19770-1:2017: the internal audit (clause 9.2) and the management review (clause 9.3). Use the audit checklist to plan and record an audit. Use the review checklist to prepare the pack for top management.</w:t>
      </w:r>
    </w:p>
    <w:p>
      <w:pPr>
        <w:pStyle w:val="Heading2"/>
      </w:pPr>
      <w:r>
        <w:t xml:space="preserve">Part 1: Internal audit (9.2)</w:t>
      </w:r>
    </w:p>
    <w:p>
      <w:pPr>
        <w:pStyle w:val="Heading3"/>
      </w:pPr>
      <w:r>
        <w:t xml:space="preserve">Plan the audit</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2520"/>
        <w:gridCol w:w="2520"/>
        <w:gridCol w:w="2520"/>
        <w:gridCol w:w="2520"/>
      </w:tblGrid>
      <w:tr>
        <w:trPr>
          <w:cantSplit/>
          <w:tblHeader/>
        </w:trPr>
        <w:tc>
          <w:tcPr>
            <w:tcW w:w="2520" w:type="dxa"/>
            <w:shd w:val="clear" w:color="auto" w:fill="D9E2E7"/>
          </w:tcPr>
          <w:p>
            <w:pPr>
              <w:spacing w:after="0"/>
            </w:pPr>
            <w:r>
              <w:rPr>
                <w:b/>
              </w:rPr>
              <w:t xml:space="preserve">#</w:t>
            </w:r>
          </w:p>
        </w:tc>
        <w:tc>
          <w:tcPr>
            <w:tcW w:w="2520" w:type="dxa"/>
            <w:shd w:val="clear" w:color="auto" w:fill="D9E2E7"/>
          </w:tcPr>
          <w:p>
            <w:pPr>
              <w:spacing w:after="0"/>
            </w:pPr>
            <w:r>
              <w:rPr>
                <w:b/>
              </w:rPr>
              <w:t xml:space="preserve">Item</w:t>
            </w:r>
          </w:p>
        </w:tc>
        <w:tc>
          <w:tcPr>
            <w:tcW w:w="2520" w:type="dxa"/>
            <w:shd w:val="clear" w:color="auto" w:fill="D9E2E7"/>
          </w:tcPr>
          <w:p>
            <w:pPr>
              <w:spacing w:after="0"/>
            </w:pPr>
            <w:r>
              <w:rPr>
                <w:b/>
              </w:rPr>
              <w:t xml:space="preserve">Done</w:t>
            </w:r>
          </w:p>
        </w:tc>
        <w:tc>
          <w:tcPr>
            <w:tcW w:w="2520" w:type="dxa"/>
            <w:shd w:val="clear" w:color="auto" w:fill="D9E2E7"/>
          </w:tcPr>
          <w:p>
            <w:pPr>
              <w:spacing w:after="0"/>
            </w:pPr>
            <w:r>
              <w:rPr>
                <w:b/>
              </w:rPr>
              <w:t xml:space="preserve">Notes</w:t>
            </w:r>
          </w:p>
        </w:tc>
      </w:tr>
      <w:tr>
        <w:trPr>
          <w:cantSplit/>
          <w:trHeight w:val="480" w:hRule="atLeast"/>
        </w:trPr>
        <w:tc>
          <w:tcPr>
            <w:tcW w:w="2520" w:type="dxa"/>
          </w:tcPr>
          <w:p>
            <w:pPr>
              <w:spacing w:after="0"/>
            </w:pPr>
            <w:r>
              <w:t xml:space="preserve">A1</w:t>
            </w:r>
          </w:p>
        </w:tc>
        <w:tc>
          <w:tcPr>
            <w:tcW w:w="2520" w:type="dxa"/>
          </w:tcPr>
          <w:p>
            <w:pPr>
              <w:spacing w:after="0"/>
            </w:pPr>
            <w:r>
              <w:t xml:space="preserve">An audit program exists, with frequency, methods, responsibilities, planning needs and reporting.</w:t>
            </w:r>
          </w:p>
        </w:tc>
        <w:tc>
          <w:tcPr>
            <w:tcW w:w="2520" w:type="dxa"/>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520" w:type="dxa"/>
          </w:tcPr>
          <w:p>
            <w:pPr>
              <w:spacing w:after="0"/>
            </w:pPr>
          </w:p>
        </w:tc>
      </w:tr>
      <w:tr>
        <w:trPr>
          <w:cantSplit/>
          <w:trHeight w:val="480" w:hRule="atLeast"/>
        </w:trPr>
        <w:tc>
          <w:tcPr>
            <w:tcW w:w="2520" w:type="dxa"/>
          </w:tcPr>
          <w:p>
            <w:pPr>
              <w:spacing w:after="0"/>
            </w:pPr>
            <w:r>
              <w:t xml:space="preserve">A2</w:t>
            </w:r>
          </w:p>
        </w:tc>
        <w:tc>
          <w:tcPr>
            <w:tcW w:w="2520" w:type="dxa"/>
          </w:tcPr>
          <w:p>
            <w:pPr>
              <w:spacing w:after="0"/>
            </w:pPr>
            <w:r>
              <w:t xml:space="preserve">The program reflects how important each process is and what earlier audits found.</w:t>
            </w:r>
          </w:p>
        </w:tc>
        <w:tc>
          <w:tcPr>
            <w:tcW w:w="2520" w:type="dxa"/>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520" w:type="dxa"/>
          </w:tcPr>
          <w:p>
            <w:pPr>
              <w:spacing w:after="0"/>
            </w:pPr>
          </w:p>
        </w:tc>
      </w:tr>
      <w:tr>
        <w:trPr>
          <w:cantSplit/>
          <w:trHeight w:val="480" w:hRule="atLeast"/>
        </w:trPr>
        <w:tc>
          <w:tcPr>
            <w:tcW w:w="2520" w:type="dxa"/>
          </w:tcPr>
          <w:p>
            <w:pPr>
              <w:spacing w:after="0"/>
            </w:pPr>
            <w:r>
              <w:t xml:space="preserve">A3</w:t>
            </w:r>
          </w:p>
        </w:tc>
        <w:tc>
          <w:tcPr>
            <w:tcW w:w="2520" w:type="dxa"/>
          </w:tcPr>
          <w:p>
            <w:pPr>
              <w:spacing w:after="0"/>
            </w:pPr>
            <w:r>
              <w:t xml:space="preserve">Audit criteria and scope are written down for this audit.</w:t>
            </w:r>
          </w:p>
        </w:tc>
        <w:tc>
          <w:tcPr>
            <w:tcW w:w="2520" w:type="dxa"/>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520" w:type="dxa"/>
          </w:tcPr>
          <w:p>
            <w:pPr>
              <w:spacing w:after="0"/>
            </w:pPr>
          </w:p>
        </w:tc>
      </w:tr>
      <w:tr>
        <w:trPr>
          <w:cantSplit/>
          <w:trHeight w:val="480" w:hRule="atLeast"/>
        </w:trPr>
        <w:tc>
          <w:tcPr>
            <w:tcW w:w="2520" w:type="dxa"/>
          </w:tcPr>
          <w:p>
            <w:pPr>
              <w:spacing w:after="0"/>
            </w:pPr>
            <w:r>
              <w:t xml:space="preserve">A4</w:t>
            </w:r>
          </w:p>
        </w:tc>
        <w:tc>
          <w:tcPr>
            <w:tcW w:w="2520" w:type="dxa"/>
          </w:tcPr>
          <w:p>
            <w:pPr>
              <w:spacing w:after="0"/>
            </w:pPr>
            <w:r>
              <w:t xml:space="preserve">Auditors are chosen so the audit is objective and impartial (no one audits their own work).</w:t>
            </w:r>
          </w:p>
        </w:tc>
        <w:tc>
          <w:tcPr>
            <w:tcW w:w="2520" w:type="dxa"/>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520" w:type="dxa"/>
          </w:tcPr>
          <w:p>
            <w:pPr>
              <w:spacing w:after="0"/>
            </w:pPr>
          </w:p>
        </w:tc>
      </w:tr>
    </w:tbl>
    <w:p>
      <w:pPr>
        <w:spacing w:after="0"/>
      </w:pPr>
    </w:p>
    <w:p>
      <w:pPr>
        <w:pStyle w:val="Heading3"/>
      </w:pPr>
      <w:r>
        <w:t xml:space="preserve">Audit questions</w:t>
      </w:r>
    </w:p>
    <w:p>
      <w:r>
        <w:t xml:space="preserve">Ask these of each process in your Statement of Applicability. Record what you saw, not what you were told.</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2016"/>
        <w:gridCol w:w="2016"/>
        <w:gridCol w:w="2016"/>
        <w:gridCol w:w="2016"/>
        <w:gridCol w:w="2016"/>
      </w:tblGrid>
      <w:tr>
        <w:trPr>
          <w:cantSplit/>
          <w:tblHeader/>
        </w:trPr>
        <w:tc>
          <w:tcPr>
            <w:tcW w:w="2016" w:type="dxa"/>
            <w:shd w:val="clear" w:color="auto" w:fill="D9E2E7"/>
          </w:tcPr>
          <w:p>
            <w:pPr>
              <w:spacing w:after="0"/>
            </w:pPr>
            <w:r>
              <w:rPr>
                <w:b/>
              </w:rPr>
              <w:t xml:space="preserve">#</w:t>
            </w:r>
          </w:p>
        </w:tc>
        <w:tc>
          <w:tcPr>
            <w:tcW w:w="2016" w:type="dxa"/>
            <w:shd w:val="clear" w:color="auto" w:fill="D9E2E7"/>
          </w:tcPr>
          <w:p>
            <w:pPr>
              <w:spacing w:after="0"/>
            </w:pPr>
            <w:r>
              <w:rPr>
                <w:b/>
              </w:rPr>
              <w:t xml:space="preserve">Question</w:t>
            </w:r>
          </w:p>
        </w:tc>
        <w:tc>
          <w:tcPr>
            <w:tcW w:w="2016" w:type="dxa"/>
            <w:shd w:val="clear" w:color="auto" w:fill="D9E2E7"/>
          </w:tcPr>
          <w:p>
            <w:pPr>
              <w:spacing w:after="0"/>
            </w:pPr>
            <w:r>
              <w:rPr>
                <w:b/>
              </w:rPr>
              <w:t xml:space="preserve">Result</w:t>
            </w:r>
          </w:p>
        </w:tc>
        <w:tc>
          <w:tcPr>
            <w:tcW w:w="2016" w:type="dxa"/>
            <w:shd w:val="clear" w:color="auto" w:fill="D9E2E7"/>
          </w:tcPr>
          <w:p>
            <w:pPr>
              <w:spacing w:after="0"/>
            </w:pPr>
            <w:r>
              <w:rPr>
                <w:b/>
              </w:rPr>
              <w:t xml:space="preserve">Evidence seen</w:t>
            </w:r>
          </w:p>
        </w:tc>
        <w:tc>
          <w:tcPr>
            <w:tcW w:w="2016" w:type="dxa"/>
            <w:shd w:val="clear" w:color="auto" w:fill="D9E2E7"/>
          </w:tcPr>
          <w:p>
            <w:pPr>
              <w:spacing w:after="0"/>
            </w:pPr>
            <w:r>
              <w:rPr>
                <w:b/>
              </w:rPr>
              <w:t xml:space="preserve">Finding</w:t>
            </w:r>
          </w:p>
        </w:tc>
      </w:tr>
      <w:tr>
        <w:trPr>
          <w:cantSplit/>
          <w:trHeight w:val="480" w:hRule="atLeast"/>
        </w:trPr>
        <w:tc>
          <w:tcPr>
            <w:tcW w:w="2016" w:type="dxa"/>
          </w:tcPr>
          <w:p>
            <w:pPr>
              <w:spacing w:after="0"/>
            </w:pPr>
            <w:r>
              <w:t xml:space="preserve">Q1</w:t>
            </w:r>
          </w:p>
        </w:tc>
        <w:tc>
          <w:tcPr>
            <w:tcW w:w="2016" w:type="dxa"/>
          </w:tcPr>
          <w:p>
            <w:pPr>
              <w:spacing w:after="0"/>
            </w:pPr>
            <w:r>
              <w:t xml:space="preserve">Does the system meet the organization's own ITAM requirements?</w:t>
            </w:r>
          </w:p>
        </w:tc>
        <w:tc>
          <w:tcPr>
            <w:tcW w:w="2016" w:type="dxa"/>
          </w:tcPr>
          <w:p>
            <w:pPr>
              <w:spacing w:after="0"/>
            </w:pPr>
          </w:p>
        </w:tc>
        <w:tc>
          <w:tcPr>
            <w:tcW w:w="2016" w:type="dxa"/>
          </w:tcPr>
          <w:p>
            <w:pPr>
              <w:spacing w:after="0"/>
            </w:pPr>
          </w:p>
        </w:tc>
        <w:tc>
          <w:tcPr>
            <w:tcW w:w="2016" w:type="dxa"/>
          </w:tcPr>
          <w:p>
            <w:pPr>
              <w:spacing w:after="0"/>
            </w:pPr>
          </w:p>
        </w:tc>
      </w:tr>
      <w:tr>
        <w:trPr>
          <w:cantSplit/>
          <w:trHeight w:val="480" w:hRule="atLeast"/>
        </w:trPr>
        <w:tc>
          <w:tcPr>
            <w:tcW w:w="2016" w:type="dxa"/>
          </w:tcPr>
          <w:p>
            <w:pPr>
              <w:spacing w:after="0"/>
            </w:pPr>
            <w:r>
              <w:t xml:space="preserve">Q2</w:t>
            </w:r>
          </w:p>
        </w:tc>
        <w:tc>
          <w:tcPr>
            <w:tcW w:w="2016" w:type="dxa"/>
          </w:tcPr>
          <w:p>
            <w:pPr>
              <w:spacing w:after="0"/>
            </w:pPr>
            <w:r>
              <w:t xml:space="preserve">Does it meet the requirements of the standard?</w:t>
            </w:r>
          </w:p>
        </w:tc>
        <w:tc>
          <w:tcPr>
            <w:tcW w:w="2016" w:type="dxa"/>
          </w:tcPr>
          <w:p>
            <w:pPr>
              <w:spacing w:after="0"/>
            </w:pPr>
          </w:p>
        </w:tc>
        <w:tc>
          <w:tcPr>
            <w:tcW w:w="2016" w:type="dxa"/>
          </w:tcPr>
          <w:p>
            <w:pPr>
              <w:spacing w:after="0"/>
            </w:pPr>
          </w:p>
        </w:tc>
        <w:tc>
          <w:tcPr>
            <w:tcW w:w="2016" w:type="dxa"/>
          </w:tcPr>
          <w:p>
            <w:pPr>
              <w:spacing w:after="0"/>
            </w:pPr>
          </w:p>
        </w:tc>
      </w:tr>
      <w:tr>
        <w:trPr>
          <w:cantSplit/>
          <w:trHeight w:val="480" w:hRule="atLeast"/>
        </w:trPr>
        <w:tc>
          <w:tcPr>
            <w:tcW w:w="2016" w:type="dxa"/>
          </w:tcPr>
          <w:p>
            <w:pPr>
              <w:spacing w:after="0"/>
            </w:pPr>
            <w:r>
              <w:t xml:space="preserve">Q3</w:t>
            </w:r>
          </w:p>
        </w:tc>
        <w:tc>
          <w:tcPr>
            <w:tcW w:w="2016" w:type="dxa"/>
          </w:tcPr>
          <w:p>
            <w:pPr>
              <w:spacing w:after="0"/>
            </w:pPr>
            <w:r>
              <w:t xml:space="preserve">Is it implemented and maintained, not just documented?</w:t>
            </w:r>
          </w:p>
        </w:tc>
        <w:tc>
          <w:tcPr>
            <w:tcW w:w="2016" w:type="dxa"/>
          </w:tcPr>
          <w:p>
            <w:pPr>
              <w:spacing w:after="0"/>
            </w:pPr>
          </w:p>
        </w:tc>
        <w:tc>
          <w:tcPr>
            <w:tcW w:w="2016" w:type="dxa"/>
          </w:tcPr>
          <w:p>
            <w:pPr>
              <w:spacing w:after="0"/>
            </w:pPr>
          </w:p>
        </w:tc>
        <w:tc>
          <w:tcPr>
            <w:tcW w:w="2016" w:type="dxa"/>
          </w:tcPr>
          <w:p>
            <w:pPr>
              <w:spacing w:after="0"/>
            </w:pPr>
          </w:p>
        </w:tc>
      </w:tr>
      <w:tr>
        <w:trPr>
          <w:cantSplit/>
          <w:trHeight w:val="480" w:hRule="atLeast"/>
        </w:trPr>
        <w:tc>
          <w:tcPr>
            <w:tcW w:w="2016" w:type="dxa"/>
          </w:tcPr>
          <w:p>
            <w:pPr>
              <w:spacing w:after="0"/>
            </w:pPr>
            <w:r>
              <w:t xml:space="preserve">Q4</w:t>
            </w:r>
          </w:p>
        </w:tc>
        <w:tc>
          <w:tcPr>
            <w:tcW w:w="2016" w:type="dxa"/>
          </w:tcPr>
          <w:p>
            <w:pPr>
              <w:spacing w:after="0"/>
            </w:pPr>
            <w:r>
              <w:t xml:space="preserve">Is the Statement of Applicability current, with a reason for each exclusion? (6.2.2)</w:t>
            </w:r>
          </w:p>
        </w:tc>
        <w:tc>
          <w:tcPr>
            <w:tcW w:w="2016" w:type="dxa"/>
          </w:tcPr>
          <w:p>
            <w:pPr>
              <w:spacing w:after="0"/>
            </w:pPr>
          </w:p>
        </w:tc>
        <w:tc>
          <w:tcPr>
            <w:tcW w:w="2016" w:type="dxa"/>
          </w:tcPr>
          <w:p>
            <w:pPr>
              <w:spacing w:after="0"/>
            </w:pPr>
          </w:p>
        </w:tc>
        <w:tc>
          <w:tcPr>
            <w:tcW w:w="2016" w:type="dxa"/>
          </w:tcPr>
          <w:p>
            <w:pPr>
              <w:spacing w:after="0"/>
            </w:pPr>
          </w:p>
        </w:tc>
      </w:tr>
      <w:tr>
        <w:trPr>
          <w:cantSplit/>
          <w:trHeight w:val="480" w:hRule="atLeast"/>
        </w:trPr>
        <w:tc>
          <w:tcPr>
            <w:tcW w:w="2016" w:type="dxa"/>
          </w:tcPr>
          <w:p>
            <w:pPr>
              <w:spacing w:after="0"/>
            </w:pPr>
            <w:r>
              <w:t xml:space="preserve">Q5</w:t>
            </w:r>
          </w:p>
        </w:tc>
        <w:tc>
          <w:tcPr>
            <w:tcW w:w="2016" w:type="dxa"/>
          </w:tcPr>
          <w:p>
            <w:pPr>
              <w:spacing w:after="0"/>
            </w:pPr>
            <w:r>
              <w:t xml:space="preserve">Does every asset have a named owner on record? (7.6.2)</w:t>
            </w:r>
          </w:p>
        </w:tc>
        <w:tc>
          <w:tcPr>
            <w:tcW w:w="2016" w:type="dxa"/>
          </w:tcPr>
          <w:p>
            <w:pPr>
              <w:spacing w:after="0"/>
            </w:pPr>
          </w:p>
        </w:tc>
        <w:tc>
          <w:tcPr>
            <w:tcW w:w="2016" w:type="dxa"/>
          </w:tcPr>
          <w:p>
            <w:pPr>
              <w:spacing w:after="0"/>
            </w:pPr>
          </w:p>
        </w:tc>
        <w:tc>
          <w:tcPr>
            <w:tcW w:w="2016" w:type="dxa"/>
          </w:tcPr>
          <w:p>
            <w:pPr>
              <w:spacing w:after="0"/>
            </w:pPr>
          </w:p>
        </w:tc>
      </w:tr>
      <w:tr>
        <w:trPr>
          <w:cantSplit/>
          <w:trHeight w:val="480" w:hRule="atLeast"/>
        </w:trPr>
        <w:tc>
          <w:tcPr>
            <w:tcW w:w="2016" w:type="dxa"/>
          </w:tcPr>
          <w:p>
            <w:pPr>
              <w:spacing w:after="0"/>
            </w:pPr>
            <w:r>
              <w:t xml:space="preserve">Q6</w:t>
            </w:r>
          </w:p>
        </w:tc>
        <w:tc>
          <w:tcPr>
            <w:tcW w:w="2016" w:type="dxa"/>
          </w:tcPr>
          <w:p>
            <w:pPr>
              <w:spacing w:after="0"/>
            </w:pPr>
            <w:r>
              <w:t xml:space="preserve">Can you trace an authorization to who, when and why, and to who carried it out? (7.6.3)</w:t>
            </w:r>
          </w:p>
        </w:tc>
        <w:tc>
          <w:tcPr>
            <w:tcW w:w="2016" w:type="dxa"/>
          </w:tcPr>
          <w:p>
            <w:pPr>
              <w:spacing w:after="0"/>
            </w:pPr>
          </w:p>
        </w:tc>
        <w:tc>
          <w:tcPr>
            <w:tcW w:w="2016" w:type="dxa"/>
          </w:tcPr>
          <w:p>
            <w:pPr>
              <w:spacing w:after="0"/>
            </w:pPr>
          </w:p>
        </w:tc>
        <w:tc>
          <w:tcPr>
            <w:tcW w:w="2016" w:type="dxa"/>
          </w:tcPr>
          <w:p>
            <w:pPr>
              <w:spacing w:after="0"/>
            </w:pPr>
          </w:p>
        </w:tc>
      </w:tr>
      <w:tr>
        <w:trPr>
          <w:cantSplit/>
          <w:trHeight w:val="480" w:hRule="atLeast"/>
        </w:trPr>
        <w:tc>
          <w:tcPr>
            <w:tcW w:w="2016" w:type="dxa"/>
          </w:tcPr>
          <w:p>
            <w:pPr>
              <w:spacing w:after="0"/>
            </w:pPr>
            <w:r>
              <w:t xml:space="preserve">Q7</w:t>
            </w:r>
          </w:p>
        </w:tc>
        <w:tc>
          <w:tcPr>
            <w:tcW w:w="2016" w:type="dxa"/>
          </w:tcPr>
          <w:p>
            <w:pPr>
              <w:spacing w:after="0"/>
            </w:pPr>
            <w:r>
              <w:t xml:space="preserve">Was the last license reconciliation done on schedule, and were gaps acted on? (8.4)</w:t>
            </w:r>
          </w:p>
        </w:tc>
        <w:tc>
          <w:tcPr>
            <w:tcW w:w="2016" w:type="dxa"/>
          </w:tcPr>
          <w:p>
            <w:pPr>
              <w:spacing w:after="0"/>
            </w:pPr>
          </w:p>
        </w:tc>
        <w:tc>
          <w:tcPr>
            <w:tcW w:w="2016" w:type="dxa"/>
          </w:tcPr>
          <w:p>
            <w:pPr>
              <w:spacing w:after="0"/>
            </w:pPr>
          </w:p>
        </w:tc>
        <w:tc>
          <w:tcPr>
            <w:tcW w:w="2016" w:type="dxa"/>
          </w:tcPr>
          <w:p>
            <w:pPr>
              <w:spacing w:after="0"/>
            </w:pPr>
          </w:p>
        </w:tc>
      </w:tr>
      <w:tr>
        <w:trPr>
          <w:cantSplit/>
          <w:trHeight w:val="480" w:hRule="atLeast"/>
        </w:trPr>
        <w:tc>
          <w:tcPr>
            <w:tcW w:w="2016" w:type="dxa"/>
          </w:tcPr>
          <w:p>
            <w:pPr>
              <w:spacing w:after="0"/>
            </w:pPr>
            <w:r>
              <w:t xml:space="preserve">Q8</w:t>
            </w:r>
          </w:p>
        </w:tc>
        <w:tc>
          <w:tcPr>
            <w:tcW w:w="2016" w:type="dxa"/>
          </w:tcPr>
          <w:p>
            <w:pPr>
              <w:spacing w:after="0"/>
            </w:pPr>
            <w:r>
              <w:t xml:space="preserve">Are outsourced activities controlled and their performance monitored? (8.7)</w:t>
            </w:r>
          </w:p>
        </w:tc>
        <w:tc>
          <w:tcPr>
            <w:tcW w:w="2016" w:type="dxa"/>
          </w:tcPr>
          <w:p>
            <w:pPr>
              <w:spacing w:after="0"/>
            </w:pPr>
          </w:p>
        </w:tc>
        <w:tc>
          <w:tcPr>
            <w:tcW w:w="2016" w:type="dxa"/>
          </w:tcPr>
          <w:p>
            <w:pPr>
              <w:spacing w:after="0"/>
            </w:pPr>
          </w:p>
        </w:tc>
        <w:tc>
          <w:tcPr>
            <w:tcW w:w="2016" w:type="dxa"/>
          </w:tcPr>
          <w:p>
            <w:pPr>
              <w:spacing w:after="0"/>
            </w:pPr>
          </w:p>
        </w:tc>
      </w:tr>
    </w:tbl>
    <w:p>
      <w:pPr>
        <w:spacing w:after="0"/>
      </w:pPr>
    </w:p>
    <w:p>
      <w:pPr>
        <w:pStyle w:val="Heading3"/>
      </w:pPr>
      <w:r>
        <w:t xml:space="preserve">Report</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2520"/>
        <w:gridCol w:w="2520"/>
        <w:gridCol w:w="2520"/>
        <w:gridCol w:w="2520"/>
      </w:tblGrid>
      <w:tr>
        <w:trPr>
          <w:cantSplit/>
          <w:tblHeader/>
        </w:trPr>
        <w:tc>
          <w:tcPr>
            <w:tcW w:w="2520" w:type="dxa"/>
            <w:shd w:val="clear" w:color="auto" w:fill="D9E2E7"/>
          </w:tcPr>
          <w:p>
            <w:pPr>
              <w:spacing w:after="0"/>
            </w:pPr>
            <w:r>
              <w:rPr>
                <w:b/>
              </w:rPr>
              <w:t xml:space="preserve">#</w:t>
            </w:r>
          </w:p>
        </w:tc>
        <w:tc>
          <w:tcPr>
            <w:tcW w:w="2520" w:type="dxa"/>
            <w:shd w:val="clear" w:color="auto" w:fill="D9E2E7"/>
          </w:tcPr>
          <w:p>
            <w:pPr>
              <w:spacing w:after="0"/>
            </w:pPr>
            <w:r>
              <w:rPr>
                <w:b/>
              </w:rPr>
              <w:t xml:space="preserve">Item</w:t>
            </w:r>
          </w:p>
        </w:tc>
        <w:tc>
          <w:tcPr>
            <w:tcW w:w="2520" w:type="dxa"/>
            <w:shd w:val="clear" w:color="auto" w:fill="D9E2E7"/>
          </w:tcPr>
          <w:p>
            <w:pPr>
              <w:spacing w:after="0"/>
            </w:pPr>
            <w:r>
              <w:rPr>
                <w:b/>
              </w:rPr>
              <w:t xml:space="preserve">Done</w:t>
            </w:r>
          </w:p>
        </w:tc>
        <w:tc>
          <w:tcPr>
            <w:tcW w:w="2520" w:type="dxa"/>
            <w:shd w:val="clear" w:color="auto" w:fill="D9E2E7"/>
          </w:tcPr>
          <w:p>
            <w:pPr>
              <w:spacing w:after="0"/>
            </w:pPr>
            <w:r>
              <w:rPr>
                <w:b/>
              </w:rPr>
              <w:t xml:space="preserve">Notes</w:t>
            </w:r>
          </w:p>
        </w:tc>
      </w:tr>
      <w:tr>
        <w:trPr>
          <w:cantSplit/>
          <w:trHeight w:val="480" w:hRule="atLeast"/>
        </w:trPr>
        <w:tc>
          <w:tcPr>
            <w:tcW w:w="2520" w:type="dxa"/>
          </w:tcPr>
          <w:p>
            <w:pPr>
              <w:spacing w:after="0"/>
            </w:pPr>
            <w:r>
              <w:t xml:space="preserve">R1</w:t>
            </w:r>
          </w:p>
        </w:tc>
        <w:tc>
          <w:tcPr>
            <w:tcW w:w="2520" w:type="dxa"/>
          </w:tcPr>
          <w:p>
            <w:pPr>
              <w:spacing w:after="0"/>
            </w:pPr>
            <w:r>
              <w:t xml:space="preserve">Results are reported to the relevant managers.</w:t>
            </w:r>
          </w:p>
        </w:tc>
        <w:tc>
          <w:tcPr>
            <w:tcW w:w="2520" w:type="dxa"/>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520" w:type="dxa"/>
          </w:tcPr>
          <w:p>
            <w:pPr>
              <w:spacing w:after="0"/>
            </w:pPr>
          </w:p>
        </w:tc>
      </w:tr>
      <w:tr>
        <w:trPr>
          <w:cantSplit/>
          <w:trHeight w:val="480" w:hRule="atLeast"/>
        </w:trPr>
        <w:tc>
          <w:tcPr>
            <w:tcW w:w="2520" w:type="dxa"/>
          </w:tcPr>
          <w:p>
            <w:pPr>
              <w:spacing w:after="0"/>
            </w:pPr>
            <w:r>
              <w:t xml:space="preserve">R2</w:t>
            </w:r>
          </w:p>
        </w:tc>
        <w:tc>
          <w:tcPr>
            <w:tcW w:w="2520" w:type="dxa"/>
          </w:tcPr>
          <w:p>
            <w:pPr>
              <w:spacing w:after="0"/>
            </w:pPr>
            <w:r>
              <w:t xml:space="preserve">Evidence of the program and the results is kept.</w:t>
            </w:r>
          </w:p>
        </w:tc>
        <w:tc>
          <w:tcPr>
            <w:tcW w:w="2520" w:type="dxa"/>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520" w:type="dxa"/>
          </w:tcPr>
          <w:p>
            <w:pPr>
              <w:spacing w:after="0"/>
            </w:pPr>
          </w:p>
        </w:tc>
      </w:tr>
      <w:tr>
        <w:trPr>
          <w:cantSplit/>
          <w:trHeight w:val="480" w:hRule="atLeast"/>
        </w:trPr>
        <w:tc>
          <w:tcPr>
            <w:tcW w:w="2520" w:type="dxa"/>
          </w:tcPr>
          <w:p>
            <w:pPr>
              <w:spacing w:after="0"/>
            </w:pPr>
            <w:r>
              <w:t xml:space="preserve">R3</w:t>
            </w:r>
          </w:p>
        </w:tc>
        <w:tc>
          <w:tcPr>
            <w:tcW w:w="2520" w:type="dxa"/>
          </w:tcPr>
          <w:p>
            <w:pPr>
              <w:spacing w:after="0"/>
            </w:pPr>
            <w:r>
              <w:t xml:space="preserve">Each nonconformity has a corrective action with an owner and a date. (10.1)</w:t>
            </w:r>
          </w:p>
        </w:tc>
        <w:tc>
          <w:tcPr>
            <w:tcW w:w="2520" w:type="dxa"/>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520" w:type="dxa"/>
          </w:tcPr>
          <w:p>
            <w:pPr>
              <w:spacing w:after="0"/>
            </w:pPr>
          </w:p>
        </w:tc>
      </w:tr>
    </w:tbl>
    <w:p>
      <w:pPr>
        <w:spacing w:after="0"/>
      </w:pPr>
    </w:p>
    <w:p>
      <w:pPr>
        <w:pStyle w:val="Heading2"/>
      </w:pPr>
      <w:r>
        <w:t xml:space="preserve">Part 2: Management review (9.3)</w:t>
      </w:r>
    </w:p>
    <w:p>
      <w:r>
        <w:t xml:space="preserve">Top management reviews the system at planned intervals to confirm it is still suitable, adequate and effective. Put these items in the pack.</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2520"/>
        <w:gridCol w:w="2520"/>
        <w:gridCol w:w="2520"/>
        <w:gridCol w:w="2520"/>
      </w:tblGrid>
      <w:tr>
        <w:trPr>
          <w:cantSplit/>
          <w:tblHeader/>
        </w:trPr>
        <w:tc>
          <w:tcPr>
            <w:tcW w:w="2520" w:type="dxa"/>
            <w:shd w:val="clear" w:color="auto" w:fill="D9E2E7"/>
          </w:tcPr>
          <w:p>
            <w:pPr>
              <w:spacing w:after="0"/>
            </w:pPr>
            <w:r>
              <w:rPr>
                <w:b/>
              </w:rPr>
              <w:t xml:space="preserve">#</w:t>
            </w:r>
          </w:p>
        </w:tc>
        <w:tc>
          <w:tcPr>
            <w:tcW w:w="2520" w:type="dxa"/>
            <w:shd w:val="clear" w:color="auto" w:fill="D9E2E7"/>
          </w:tcPr>
          <w:p>
            <w:pPr>
              <w:spacing w:after="0"/>
            </w:pPr>
            <w:r>
              <w:rPr>
                <w:b/>
              </w:rPr>
              <w:t xml:space="preserve">Input to the review</w:t>
            </w:r>
          </w:p>
        </w:tc>
        <w:tc>
          <w:tcPr>
            <w:tcW w:w="2520" w:type="dxa"/>
            <w:shd w:val="clear" w:color="auto" w:fill="D9E2E7"/>
          </w:tcPr>
          <w:p>
            <w:pPr>
              <w:spacing w:after="0"/>
            </w:pPr>
            <w:r>
              <w:rPr>
                <w:b/>
              </w:rPr>
              <w:t xml:space="preserve">Prepared</w:t>
            </w:r>
          </w:p>
        </w:tc>
        <w:tc>
          <w:tcPr>
            <w:tcW w:w="2520" w:type="dxa"/>
            <w:shd w:val="clear" w:color="auto" w:fill="D9E2E7"/>
          </w:tcPr>
          <w:p>
            <w:pPr>
              <w:spacing w:after="0"/>
            </w:pPr>
            <w:r>
              <w:rPr>
                <w:b/>
              </w:rPr>
              <w:t xml:space="preserve">Source</w:t>
            </w:r>
          </w:p>
        </w:tc>
      </w:tr>
      <w:tr>
        <w:trPr>
          <w:cantSplit/>
          <w:trHeight w:val="480" w:hRule="atLeast"/>
        </w:trPr>
        <w:tc>
          <w:tcPr>
            <w:tcW w:w="2520" w:type="dxa"/>
          </w:tcPr>
          <w:p>
            <w:pPr>
              <w:spacing w:after="0"/>
            </w:pPr>
            <w:r>
              <w:t xml:space="preserve">M1</w:t>
            </w:r>
          </w:p>
        </w:tc>
        <w:tc>
          <w:tcPr>
            <w:tcW w:w="2520" w:type="dxa"/>
          </w:tcPr>
          <w:p>
            <w:pPr>
              <w:spacing w:after="0"/>
            </w:pPr>
            <w:r>
              <w:t xml:space="preserve">Status of actions from the last review.</w:t>
            </w:r>
          </w:p>
        </w:tc>
        <w:tc>
          <w:tcPr>
            <w:tcW w:w="2520" w:type="dxa"/>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520" w:type="dxa"/>
          </w:tcPr>
          <w:p>
            <w:pPr>
              <w:spacing w:after="0"/>
            </w:pPr>
          </w:p>
        </w:tc>
      </w:tr>
      <w:tr>
        <w:trPr>
          <w:cantSplit/>
          <w:trHeight w:val="480" w:hRule="atLeast"/>
        </w:trPr>
        <w:tc>
          <w:tcPr>
            <w:tcW w:w="2520" w:type="dxa"/>
          </w:tcPr>
          <w:p>
            <w:pPr>
              <w:spacing w:after="0"/>
            </w:pPr>
            <w:r>
              <w:t xml:space="preserve">M2</w:t>
            </w:r>
          </w:p>
        </w:tc>
        <w:tc>
          <w:tcPr>
            <w:tcW w:w="2520" w:type="dxa"/>
          </w:tcPr>
          <w:p>
            <w:pPr>
              <w:spacing w:after="0"/>
            </w:pPr>
            <w:r>
              <w:t xml:space="preserve">Changes in outside and inside issues that affect ITAM.</w:t>
            </w:r>
          </w:p>
        </w:tc>
        <w:tc>
          <w:tcPr>
            <w:tcW w:w="2520" w:type="dxa"/>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520" w:type="dxa"/>
          </w:tcPr>
          <w:p>
            <w:pPr>
              <w:spacing w:after="0"/>
            </w:pPr>
          </w:p>
        </w:tc>
      </w:tr>
      <w:tr>
        <w:trPr>
          <w:cantSplit/>
          <w:trHeight w:val="480" w:hRule="atLeast"/>
        </w:trPr>
        <w:tc>
          <w:tcPr>
            <w:tcW w:w="2520" w:type="dxa"/>
          </w:tcPr>
          <w:p>
            <w:pPr>
              <w:spacing w:after="0"/>
            </w:pPr>
            <w:r>
              <w:t xml:space="preserve">M3</w:t>
            </w:r>
          </w:p>
        </w:tc>
        <w:tc>
          <w:tcPr>
            <w:tcW w:w="2520" w:type="dxa"/>
          </w:tcPr>
          <w:p>
            <w:pPr>
              <w:spacing w:after="0"/>
            </w:pPr>
            <w:r>
              <w:t xml:space="preserve">Performance trends: nonconformities and corrective actions.</w:t>
            </w:r>
          </w:p>
        </w:tc>
        <w:tc>
          <w:tcPr>
            <w:tcW w:w="2520" w:type="dxa"/>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520" w:type="dxa"/>
          </w:tcPr>
          <w:p>
            <w:pPr>
              <w:spacing w:after="0"/>
            </w:pPr>
          </w:p>
        </w:tc>
      </w:tr>
      <w:tr>
        <w:trPr>
          <w:cantSplit/>
          <w:trHeight w:val="480" w:hRule="atLeast"/>
        </w:trPr>
        <w:tc>
          <w:tcPr>
            <w:tcW w:w="2520" w:type="dxa"/>
          </w:tcPr>
          <w:p>
            <w:pPr>
              <w:spacing w:after="0"/>
            </w:pPr>
            <w:r>
              <w:t xml:space="preserve">M4</w:t>
            </w:r>
          </w:p>
        </w:tc>
        <w:tc>
          <w:tcPr>
            <w:tcW w:w="2520" w:type="dxa"/>
          </w:tcPr>
          <w:p>
            <w:pPr>
              <w:spacing w:after="0"/>
            </w:pPr>
            <w:r>
              <w:t xml:space="preserve">Performance trends: monitoring and measurement results.</w:t>
            </w:r>
          </w:p>
        </w:tc>
        <w:tc>
          <w:tcPr>
            <w:tcW w:w="2520" w:type="dxa"/>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520" w:type="dxa"/>
          </w:tcPr>
          <w:p>
            <w:pPr>
              <w:spacing w:after="0"/>
            </w:pPr>
          </w:p>
        </w:tc>
      </w:tr>
      <w:tr>
        <w:trPr>
          <w:cantSplit/>
          <w:trHeight w:val="480" w:hRule="atLeast"/>
        </w:trPr>
        <w:tc>
          <w:tcPr>
            <w:tcW w:w="2520" w:type="dxa"/>
          </w:tcPr>
          <w:p>
            <w:pPr>
              <w:spacing w:after="0"/>
            </w:pPr>
            <w:r>
              <w:t xml:space="preserve">M5</w:t>
            </w:r>
          </w:p>
        </w:tc>
        <w:tc>
          <w:tcPr>
            <w:tcW w:w="2520" w:type="dxa"/>
          </w:tcPr>
          <w:p>
            <w:pPr>
              <w:spacing w:after="0"/>
            </w:pPr>
            <w:r>
              <w:t xml:space="preserve">Performance trends: audit results.</w:t>
            </w:r>
          </w:p>
        </w:tc>
        <w:tc>
          <w:tcPr>
            <w:tcW w:w="2520" w:type="dxa"/>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520" w:type="dxa"/>
          </w:tcPr>
          <w:p>
            <w:pPr>
              <w:spacing w:after="0"/>
            </w:pPr>
          </w:p>
        </w:tc>
      </w:tr>
      <w:tr>
        <w:trPr>
          <w:cantSplit/>
          <w:trHeight w:val="480" w:hRule="atLeast"/>
        </w:trPr>
        <w:tc>
          <w:tcPr>
            <w:tcW w:w="2520" w:type="dxa"/>
          </w:tcPr>
          <w:p>
            <w:pPr>
              <w:spacing w:after="0"/>
            </w:pPr>
            <w:r>
              <w:t xml:space="preserve">M6</w:t>
            </w:r>
          </w:p>
        </w:tc>
        <w:tc>
          <w:tcPr>
            <w:tcW w:w="2520" w:type="dxa"/>
          </w:tcPr>
          <w:p>
            <w:pPr>
              <w:spacing w:after="0"/>
            </w:pPr>
            <w:r>
              <w:t xml:space="preserve">ITAM activity.</w:t>
            </w:r>
          </w:p>
        </w:tc>
        <w:tc>
          <w:tcPr>
            <w:tcW w:w="2520" w:type="dxa"/>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520" w:type="dxa"/>
          </w:tcPr>
          <w:p>
            <w:pPr>
              <w:spacing w:after="0"/>
            </w:pPr>
          </w:p>
        </w:tc>
      </w:tr>
      <w:tr>
        <w:trPr>
          <w:cantSplit/>
          <w:trHeight w:val="480" w:hRule="atLeast"/>
        </w:trPr>
        <w:tc>
          <w:tcPr>
            <w:tcW w:w="2520" w:type="dxa"/>
          </w:tcPr>
          <w:p>
            <w:pPr>
              <w:spacing w:after="0"/>
            </w:pPr>
            <w:r>
              <w:t xml:space="preserve">M7</w:t>
            </w:r>
          </w:p>
        </w:tc>
        <w:tc>
          <w:tcPr>
            <w:tcW w:w="2520" w:type="dxa"/>
          </w:tcPr>
          <w:p>
            <w:pPr>
              <w:spacing w:after="0"/>
            </w:pPr>
            <w:r>
              <w:t xml:space="preserve">Opportunities for continual improvement.</w:t>
            </w:r>
          </w:p>
        </w:tc>
        <w:tc>
          <w:tcPr>
            <w:tcW w:w="2520" w:type="dxa"/>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520" w:type="dxa"/>
          </w:tcPr>
          <w:p>
            <w:pPr>
              <w:spacing w:after="0"/>
            </w:pPr>
          </w:p>
        </w:tc>
      </w:tr>
      <w:tr>
        <w:trPr>
          <w:cantSplit/>
          <w:trHeight w:val="480" w:hRule="atLeast"/>
        </w:trPr>
        <w:tc>
          <w:tcPr>
            <w:tcW w:w="2520" w:type="dxa"/>
          </w:tcPr>
          <w:p>
            <w:pPr>
              <w:spacing w:after="0"/>
            </w:pPr>
            <w:r>
              <w:t xml:space="preserve">M8</w:t>
            </w:r>
          </w:p>
        </w:tc>
        <w:tc>
          <w:tcPr>
            <w:tcW w:w="2520" w:type="dxa"/>
          </w:tcPr>
          <w:p>
            <w:pPr>
              <w:spacing w:after="0"/>
            </w:pPr>
            <w:r>
              <w:t xml:space="preserve">Changes in the profile of risks and opportunities.</w:t>
            </w:r>
          </w:p>
        </w:tc>
        <w:tc>
          <w:tcPr>
            <w:tcW w:w="2520" w:type="dxa"/>
          </w:tcPr>
          <w:p>
            <w:pPr>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520" w:type="dxa"/>
          </w:tcPr>
          <w:p>
            <w:pPr>
              <w:spacing w:after="0"/>
            </w:pPr>
          </w:p>
        </w:tc>
      </w:tr>
    </w:tbl>
    <w:p>
      <w:pPr>
        <w:spacing w:after="0"/>
      </w:pPr>
    </w:p>
    <w:p>
      <w:pPr>
        <w:pStyle w:val="Heading3"/>
      </w:pPr>
      <w:r>
        <w:t xml:space="preserve">Outputs to record</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2016"/>
        <w:gridCol w:w="2016"/>
        <w:gridCol w:w="2016"/>
        <w:gridCol w:w="2016"/>
        <w:gridCol w:w="2016"/>
      </w:tblGrid>
      <w:tr>
        <w:trPr>
          <w:cantSplit/>
          <w:tblHeader/>
        </w:trPr>
        <w:tc>
          <w:tcPr>
            <w:tcW w:w="2016" w:type="dxa"/>
            <w:shd w:val="clear" w:color="auto" w:fill="D9E2E7"/>
          </w:tcPr>
          <w:p>
            <w:pPr>
              <w:spacing w:after="0"/>
            </w:pPr>
            <w:r>
              <w:rPr>
                <w:b/>
              </w:rPr>
              <w:t xml:space="preserve">#</w:t>
            </w:r>
          </w:p>
        </w:tc>
        <w:tc>
          <w:tcPr>
            <w:tcW w:w="2016" w:type="dxa"/>
            <w:shd w:val="clear" w:color="auto" w:fill="D9E2E7"/>
          </w:tcPr>
          <w:p>
            <w:pPr>
              <w:spacing w:after="0"/>
            </w:pPr>
            <w:r>
              <w:rPr>
                <w:b/>
              </w:rPr>
              <w:t xml:space="preserve">Output</w:t>
            </w:r>
          </w:p>
        </w:tc>
        <w:tc>
          <w:tcPr>
            <w:tcW w:w="2016" w:type="dxa"/>
            <w:shd w:val="clear" w:color="auto" w:fill="D9E2E7"/>
          </w:tcPr>
          <w:p>
            <w:pPr>
              <w:spacing w:after="0"/>
            </w:pPr>
            <w:r>
              <w:rPr>
                <w:b/>
              </w:rPr>
              <w:t xml:space="preserve">Decision</w:t>
            </w:r>
          </w:p>
        </w:tc>
        <w:tc>
          <w:tcPr>
            <w:tcW w:w="2016" w:type="dxa"/>
            <w:shd w:val="clear" w:color="auto" w:fill="D9E2E7"/>
          </w:tcPr>
          <w:p>
            <w:pPr>
              <w:spacing w:after="0"/>
            </w:pPr>
            <w:r>
              <w:rPr>
                <w:b/>
              </w:rPr>
              <w:t xml:space="preserve">Owner</w:t>
            </w:r>
          </w:p>
        </w:tc>
        <w:tc>
          <w:tcPr>
            <w:tcW w:w="2016" w:type="dxa"/>
            <w:shd w:val="clear" w:color="auto" w:fill="D9E2E7"/>
          </w:tcPr>
          <w:p>
            <w:pPr>
              <w:spacing w:after="0"/>
            </w:pPr>
            <w:r>
              <w:rPr>
                <w:b/>
              </w:rPr>
              <w:t xml:space="preserve">Due</w:t>
            </w:r>
          </w:p>
        </w:tc>
      </w:tr>
      <w:tr>
        <w:trPr>
          <w:cantSplit/>
          <w:trHeight w:val="480" w:hRule="atLeast"/>
        </w:trPr>
        <w:tc>
          <w:tcPr>
            <w:tcW w:w="2016" w:type="dxa"/>
          </w:tcPr>
          <w:p>
            <w:pPr>
              <w:spacing w:after="0"/>
            </w:pPr>
            <w:r>
              <w:t xml:space="preserve">O1</w:t>
            </w:r>
          </w:p>
        </w:tc>
        <w:tc>
          <w:tcPr>
            <w:tcW w:w="2016" w:type="dxa"/>
          </w:tcPr>
          <w:p>
            <w:pPr>
              <w:spacing w:after="0"/>
            </w:pPr>
            <w:r>
              <w:t xml:space="preserve">Decisions on continual improvement opportunities.</w:t>
            </w:r>
          </w:p>
        </w:tc>
        <w:tc>
          <w:tcPr>
            <w:tcW w:w="2016" w:type="dxa"/>
          </w:tcPr>
          <w:p>
            <w:pPr>
              <w:spacing w:after="0"/>
            </w:pPr>
          </w:p>
        </w:tc>
        <w:tc>
          <w:tcPr>
            <w:tcW w:w="2016" w:type="dxa"/>
          </w:tcPr>
          <w:p>
            <w:pPr>
              <w:spacing w:after="0"/>
            </w:pPr>
          </w:p>
        </w:tc>
        <w:tc>
          <w:tcPr>
            <w:tcW w:w="2016" w:type="dxa"/>
          </w:tcPr>
          <w:p>
            <w:pPr>
              <w:spacing w:after="0"/>
            </w:pPr>
          </w:p>
        </w:tc>
      </w:tr>
      <w:tr>
        <w:trPr>
          <w:cantSplit/>
          <w:trHeight w:val="480" w:hRule="atLeast"/>
        </w:trPr>
        <w:tc>
          <w:tcPr>
            <w:tcW w:w="2016" w:type="dxa"/>
          </w:tcPr>
          <w:p>
            <w:pPr>
              <w:spacing w:after="0"/>
            </w:pPr>
            <w:r>
              <w:t xml:space="preserve">O2</w:t>
            </w:r>
          </w:p>
        </w:tc>
        <w:tc>
          <w:tcPr>
            <w:tcW w:w="2016" w:type="dxa"/>
          </w:tcPr>
          <w:p>
            <w:pPr>
              <w:spacing w:after="0"/>
            </w:pPr>
            <w:r>
              <w:t xml:space="preserve">Any change needed to the ITAM system.</w:t>
            </w:r>
          </w:p>
        </w:tc>
        <w:tc>
          <w:tcPr>
            <w:tcW w:w="2016" w:type="dxa"/>
          </w:tcPr>
          <w:p>
            <w:pPr>
              <w:spacing w:after="0"/>
            </w:pPr>
          </w:p>
        </w:tc>
        <w:tc>
          <w:tcPr>
            <w:tcW w:w="2016" w:type="dxa"/>
          </w:tcPr>
          <w:p>
            <w:pPr>
              <w:spacing w:after="0"/>
            </w:pPr>
          </w:p>
        </w:tc>
        <w:tc>
          <w:tcPr>
            <w:tcW w:w="2016" w:type="dxa"/>
          </w:tcPr>
          <w:p>
            <w:pPr>
              <w:spacing w:after="0"/>
            </w:pPr>
          </w:p>
        </w:tc>
      </w:tr>
    </w:tbl>
    <w:p>
      <w:pPr>
        <w:spacing w:after="0"/>
      </w:pPr>
    </w:p>
    <w:p>
      <w:r>
        <w:t xml:space="preserve">Keep the minutes and the pack as evidence. The standard requires a record of the review results.</w:t>
      </w:r>
    </w:p>
    <w:p>
      <w:r>
        <w:t xml:space="preserve">Source: ISO/IEC 19770-1:2017 clauses 9.2, 9.3 and 10.1. Paraphrased; this is not a substitute for the standard.</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