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Acquisition gate checklist</w:t>
      </w:r>
    </w:p>
    <w:p>
      <w:r>
        <w:t xml:space="preserve">A short checklist a software request passes before anything is bought. Complete one copy per request and keep it with the purchase record. A request that fails a question waits until the answer is fixed or a named person accepts the exception in writing.</w:t>
      </w:r>
    </w:p>
    <w:p>
      <w:r>
        <w:t xml:space="preserve">Clause references are to ISO/IEC 19770-1:2017 (paraphrased) and to the shared crosswalk (</w:t>
      </w:r>
      <w:r>
        <w:rPr>
          <w:rFonts w:ascii="Consolas" w:hAnsi="Consolas"/>
        </w:rPr>
        <w:t xml:space="preserve">XW-</w:t>
      </w:r>
      <w:r>
        <w:t xml:space="preserve"> rows). Verify license terms against the contract; this checklist does not interpret them.</w:t>
      </w:r>
    </w:p>
    <w:p>
      <w:r>
        <w:rPr>
          <w:b/>
        </w:rPr>
        <w:t xml:space="preserve">Request:</w:t>
      </w:r>
      <w:r>
        <w:t xml:space="preserve"> ______________________  </w:t>
      </w:r>
      <w:r>
        <w:rPr>
          <w:b/>
        </w:rPr>
        <w:t xml:space="preserve">Requester:</w:t>
      </w:r>
      <w:r>
        <w:t xml:space="preserve"> ______________________  </w:t>
      </w:r>
      <w:r>
        <w:rPr>
          <w:b/>
        </w:rPr>
        <w:t xml:space="preserve">Date:</w:t>
      </w:r>
      <w:r>
        <w:t xml:space="preserve"> ___________</w:t>
      </w:r>
    </w:p>
    <w:p>
      <w:pPr>
        <w:pStyle w:val="Heading2"/>
      </w:pPr>
      <w:r>
        <w:t xml:space="preserve">No purchase outside this path</w:t>
      </w:r>
    </w:p>
    <w:p>
      <w:r>
        <w:t xml:space="preserve">Every software purchase goes through this gate, whatever the amount and whoever pays. The gate applies to purchases made on expense cards, by departments from their own budgets, and as add-ons inside a larger order. A purchase made outside the gate is recorded as an exception and reviewed (see the last part of this list).</w:t>
      </w:r>
    </w:p>
    <w:p>
      <w:pPr>
        <w:pStyle w:val="Heading2"/>
      </w:pPr>
      <w:r>
        <w:t xml:space="preserve">Part 1: Do we already have it?</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2520"/>
        <w:gridCol w:w="2520"/>
        <w:gridCol w:w="2520"/>
        <w:gridCol w:w="2520"/>
      </w:tblGrid>
      <w:tr>
        <w:trPr>
          <w:cantSplit/>
          <w:tblHeader/>
        </w:trPr>
        <w:tc>
          <w:tcPr>
            <w:tcW w:w="2520" w:type="dxa"/>
            <w:shd w:val="clear" w:color="auto" w:fill="D9E2E7"/>
          </w:tcPr>
          <w:p>
            <w:pPr>
              <w:spacing w:after="0"/>
            </w:pPr>
            <w:r>
              <w:rPr>
                <w:b/>
              </w:rPr>
              <w:t xml:space="preserve">#</w:t>
            </w:r>
          </w:p>
        </w:tc>
        <w:tc>
          <w:tcPr>
            <w:tcW w:w="2520" w:type="dxa"/>
            <w:shd w:val="clear" w:color="auto" w:fill="D9E2E7"/>
          </w:tcPr>
          <w:p>
            <w:pPr>
              <w:spacing w:after="0"/>
            </w:pPr>
            <w:r>
              <w:rPr>
                <w:b/>
              </w:rPr>
              <w:t xml:space="preserve">Question</w:t>
            </w:r>
          </w:p>
        </w:tc>
        <w:tc>
          <w:tcPr>
            <w:tcW w:w="2520" w:type="dxa"/>
            <w:shd w:val="clear" w:color="auto" w:fill="D9E2E7"/>
          </w:tcPr>
          <w:p>
            <w:pPr>
              <w:spacing w:after="0"/>
            </w:pPr>
            <w:r>
              <w:rPr>
                <w:b/>
              </w:rPr>
              <w:t xml:space="preserve">Result</w:t>
            </w:r>
          </w:p>
        </w:tc>
        <w:tc>
          <w:tcPr>
            <w:tcW w:w="2520" w:type="dxa"/>
            <w:shd w:val="clear" w:color="auto" w:fill="D9E2E7"/>
          </w:tcPr>
          <w:p>
            <w:pPr>
              <w:spacing w:after="0"/>
            </w:pPr>
            <w:r>
              <w:rPr>
                <w:b/>
              </w:rPr>
              <w:t xml:space="preserve">Evidence</w:t>
            </w:r>
          </w:p>
        </w:tc>
      </w:tr>
      <w:tr>
        <w:trPr>
          <w:cantSplit/>
          <w:trHeight w:val="480" w:hRule="atLeast"/>
        </w:trPr>
        <w:tc>
          <w:tcPr>
            <w:tcW w:w="2520" w:type="dxa"/>
          </w:tcPr>
          <w:p>
            <w:pPr>
              <w:spacing w:after="0"/>
            </w:pPr>
            <w:r>
              <w:t xml:space="preserve">G1</w:t>
            </w:r>
          </w:p>
        </w:tc>
        <w:tc>
          <w:tcPr>
            <w:tcW w:w="2520" w:type="dxa"/>
          </w:tcPr>
          <w:p>
            <w:pPr>
              <w:spacing w:after="0"/>
            </w:pPr>
            <w:r>
              <w:t xml:space="preserve">Is the product, or an earlier version with upgrade rights, already owned? Check </w:t>
            </w:r>
            <w:r>
              <w:t xml:space="preserve">License position template</w:t>
            </w:r>
            <w:r>
              <w:t xml:space="preserve"> and the proofs on file. </w:t>
            </w:r>
            <w:r>
              <w:rPr>
                <w:b/>
              </w:rPr>
              <w:t xml:space="preserve">XW-006</w:t>
            </w:r>
            <w:r>
              <w:t xml:space="preserve"> </w:t>
            </w:r>
            <w:r>
              <w:rPr>
                <w:b/>
              </w:rPr>
              <w:t xml:space="preserve">XW-007</w:t>
            </w:r>
          </w:p>
        </w:tc>
        <w:tc>
          <w:tcPr>
            <w:tcW w:w="2520" w:type="dxa"/>
          </w:tcPr>
          <w:p>
            <w:pPr>
              <w:spacing w:after="0"/>
            </w:pPr>
          </w:p>
        </w:tc>
        <w:tc>
          <w:tcPr>
            <w:tcW w:w="2520" w:type="dxa"/>
          </w:tcPr>
          <w:p>
            <w:pPr>
              <w:spacing w:after="0"/>
            </w:pPr>
          </w:p>
        </w:tc>
      </w:tr>
      <w:tr>
        <w:trPr>
          <w:cantSplit/>
          <w:trHeight w:val="480" w:hRule="atLeast"/>
        </w:trPr>
        <w:tc>
          <w:tcPr>
            <w:tcW w:w="2520" w:type="dxa"/>
          </w:tcPr>
          <w:p>
            <w:pPr>
              <w:spacing w:after="0"/>
            </w:pPr>
            <w:r>
              <w:t xml:space="preserve">G2</w:t>
            </w:r>
          </w:p>
        </w:tc>
        <w:tc>
          <w:tcPr>
            <w:tcW w:w="2520" w:type="dxa"/>
          </w:tcPr>
          <w:p>
            <w:pPr>
              <w:spacing w:after="0"/>
            </w:pPr>
            <w:r>
              <w:t xml:space="preserve">If owned, is there a surplus that can be redeployed to this requester instead of buying? </w:t>
            </w:r>
            <w:r>
              <w:rPr>
                <w:b/>
              </w:rPr>
              <w:t xml:space="preserve">XW-007</w:t>
            </w:r>
          </w:p>
        </w:tc>
        <w:tc>
          <w:tcPr>
            <w:tcW w:w="2520" w:type="dxa"/>
          </w:tcPr>
          <w:p>
            <w:pPr>
              <w:spacing w:after="0"/>
            </w:pPr>
          </w:p>
        </w:tc>
        <w:tc>
          <w:tcPr>
            <w:tcW w:w="2520" w:type="dxa"/>
          </w:tcPr>
          <w:p>
            <w:pPr>
              <w:spacing w:after="0"/>
            </w:pPr>
          </w:p>
        </w:tc>
      </w:tr>
      <w:tr>
        <w:trPr>
          <w:cantSplit/>
          <w:trHeight w:val="480" w:hRule="atLeast"/>
        </w:trPr>
        <w:tc>
          <w:tcPr>
            <w:tcW w:w="2520" w:type="dxa"/>
          </w:tcPr>
          <w:p>
            <w:pPr>
              <w:spacing w:after="0"/>
            </w:pPr>
            <w:r>
              <w:t xml:space="preserve">G3</w:t>
            </w:r>
          </w:p>
        </w:tc>
        <w:tc>
          <w:tcPr>
            <w:tcW w:w="2520" w:type="dxa"/>
          </w:tcPr>
          <w:p>
            <w:pPr>
              <w:spacing w:after="0"/>
            </w:pPr>
            <w:r>
              <w:t xml:space="preserve">Is it already installed somewhere and unused? Check discovery data for installs with no recent use. </w:t>
            </w:r>
            <w:r>
              <w:rPr>
                <w:b/>
              </w:rPr>
              <w:t xml:space="preserve">XW-005</w:t>
            </w:r>
          </w:p>
        </w:tc>
        <w:tc>
          <w:tcPr>
            <w:tcW w:w="2520" w:type="dxa"/>
          </w:tcPr>
          <w:p>
            <w:pPr>
              <w:spacing w:after="0"/>
            </w:pPr>
          </w:p>
        </w:tc>
        <w:tc>
          <w:tcPr>
            <w:tcW w:w="2520" w:type="dxa"/>
          </w:tcPr>
          <w:p>
            <w:pPr>
              <w:spacing w:after="0"/>
            </w:pPr>
          </w:p>
        </w:tc>
      </w:tr>
      <w:tr>
        <w:trPr>
          <w:cantSplit/>
          <w:trHeight w:val="480" w:hRule="atLeast"/>
        </w:trPr>
        <w:tc>
          <w:tcPr>
            <w:tcW w:w="2520" w:type="dxa"/>
          </w:tcPr>
          <w:p>
            <w:pPr>
              <w:spacing w:after="0"/>
            </w:pPr>
            <w:r>
              <w:t xml:space="preserve">G4</w:t>
            </w:r>
          </w:p>
        </w:tc>
        <w:tc>
          <w:tcPr>
            <w:tcW w:w="2520" w:type="dxa"/>
          </w:tcPr>
          <w:p>
            <w:pPr>
              <w:spacing w:after="0"/>
            </w:pPr>
            <w:r>
              <w:t xml:space="preserve">Does an existing product already do this job? If so, send the request through the rationalization method before buying a second one. </w:t>
            </w:r>
            <w:r>
              <w:rPr>
                <w:b/>
              </w:rPr>
              <w:t xml:space="preserve">XW-011</w:t>
            </w:r>
          </w:p>
        </w:tc>
        <w:tc>
          <w:tcPr>
            <w:tcW w:w="2520" w:type="dxa"/>
          </w:tcPr>
          <w:p>
            <w:pPr>
              <w:spacing w:after="0"/>
            </w:pPr>
          </w:p>
        </w:tc>
        <w:tc>
          <w:tcPr>
            <w:tcW w:w="2520" w:type="dxa"/>
          </w:tcPr>
          <w:p>
            <w:pPr>
              <w:spacing w:after="0"/>
            </w:pPr>
          </w:p>
        </w:tc>
      </w:tr>
    </w:tbl>
    <w:p>
      <w:pPr>
        <w:spacing w:after="0"/>
      </w:pPr>
    </w:p>
    <w:p>
      <w:pPr>
        <w:pStyle w:val="Heading2"/>
      </w:pPr>
      <w:r>
        <w:t xml:space="preserve">Part 2: Which path does it take?</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2520"/>
        <w:gridCol w:w="2520"/>
        <w:gridCol w:w="2520"/>
        <w:gridCol w:w="2520"/>
      </w:tblGrid>
      <w:tr>
        <w:trPr>
          <w:cantSplit/>
          <w:tblHeader/>
        </w:trPr>
        <w:tc>
          <w:tcPr>
            <w:tcW w:w="2520" w:type="dxa"/>
            <w:shd w:val="clear" w:color="auto" w:fill="D9E2E7"/>
          </w:tcPr>
          <w:p>
            <w:pPr>
              <w:spacing w:after="0"/>
            </w:pPr>
            <w:r>
              <w:rPr>
                <w:b/>
              </w:rPr>
              <w:t xml:space="preserve">#</w:t>
            </w:r>
          </w:p>
        </w:tc>
        <w:tc>
          <w:tcPr>
            <w:tcW w:w="2520" w:type="dxa"/>
            <w:shd w:val="clear" w:color="auto" w:fill="D9E2E7"/>
          </w:tcPr>
          <w:p>
            <w:pPr>
              <w:spacing w:after="0"/>
            </w:pPr>
            <w:r>
              <w:rPr>
                <w:b/>
              </w:rPr>
              <w:t xml:space="preserve">Question</w:t>
            </w:r>
          </w:p>
        </w:tc>
        <w:tc>
          <w:tcPr>
            <w:tcW w:w="2520" w:type="dxa"/>
            <w:shd w:val="clear" w:color="auto" w:fill="D9E2E7"/>
          </w:tcPr>
          <w:p>
            <w:pPr>
              <w:spacing w:after="0"/>
            </w:pPr>
            <w:r>
              <w:rPr>
                <w:b/>
              </w:rPr>
              <w:t xml:space="preserve">Result</w:t>
            </w:r>
          </w:p>
        </w:tc>
        <w:tc>
          <w:tcPr>
            <w:tcW w:w="2520" w:type="dxa"/>
            <w:shd w:val="clear" w:color="auto" w:fill="D9E2E7"/>
          </w:tcPr>
          <w:p>
            <w:pPr>
              <w:spacing w:after="0"/>
            </w:pPr>
            <w:r>
              <w:rPr>
                <w:b/>
              </w:rPr>
              <w:t xml:space="preserve">Evidence</w:t>
            </w:r>
          </w:p>
        </w:tc>
      </w:tr>
      <w:tr>
        <w:trPr>
          <w:cantSplit/>
          <w:trHeight w:val="480" w:hRule="atLeast"/>
        </w:trPr>
        <w:tc>
          <w:tcPr>
            <w:tcW w:w="2520" w:type="dxa"/>
          </w:tcPr>
          <w:p>
            <w:pPr>
              <w:spacing w:after="0"/>
            </w:pPr>
            <w:r>
              <w:t xml:space="preserve">G5</w:t>
            </w:r>
          </w:p>
        </w:tc>
        <w:tc>
          <w:tcPr>
            <w:tcW w:w="2520" w:type="dxa"/>
          </w:tcPr>
          <w:p>
            <w:pPr>
              <w:spacing w:after="0"/>
            </w:pPr>
            <w:r>
              <w:t xml:space="preserve">Is it on the standard list, deployed through the standard image? A standard request follows the standard path.</w:t>
            </w:r>
          </w:p>
        </w:tc>
        <w:tc>
          <w:tcPr>
            <w:tcW w:w="2520" w:type="dxa"/>
          </w:tcPr>
          <w:p>
            <w:pPr>
              <w:spacing w:after="0"/>
            </w:pPr>
          </w:p>
        </w:tc>
        <w:tc>
          <w:tcPr>
            <w:tcW w:w="2520" w:type="dxa"/>
          </w:tcPr>
          <w:p>
            <w:pPr>
              <w:spacing w:after="0"/>
            </w:pPr>
          </w:p>
        </w:tc>
      </w:tr>
      <w:tr>
        <w:trPr>
          <w:cantSplit/>
          <w:trHeight w:val="480" w:hRule="atLeast"/>
        </w:trPr>
        <w:tc>
          <w:tcPr>
            <w:tcW w:w="2520" w:type="dxa"/>
          </w:tcPr>
          <w:p>
            <w:pPr>
              <w:spacing w:after="0"/>
            </w:pPr>
            <w:r>
              <w:t xml:space="preserve">G6</w:t>
            </w:r>
          </w:p>
        </w:tc>
        <w:tc>
          <w:tcPr>
            <w:tcW w:w="2520" w:type="dxa"/>
          </w:tcPr>
          <w:p>
            <w:pPr>
              <w:spacing w:after="0"/>
            </w:pPr>
            <w:r>
              <w:t xml:space="preserve">If it is not standard, has it gone to exception review, with the reason recorded? Non-standard requests do not skip review. </w:t>
            </w:r>
            <w:r>
              <w:rPr>
                <w:b/>
              </w:rPr>
              <w:t xml:space="preserve">XW-009</w:t>
            </w:r>
          </w:p>
        </w:tc>
        <w:tc>
          <w:tcPr>
            <w:tcW w:w="2520" w:type="dxa"/>
          </w:tcPr>
          <w:p>
            <w:pPr>
              <w:spacing w:after="0"/>
            </w:pPr>
          </w:p>
        </w:tc>
        <w:tc>
          <w:tcPr>
            <w:tcW w:w="2520" w:type="dxa"/>
          </w:tcPr>
          <w:p>
            <w:pPr>
              <w:spacing w:after="0"/>
            </w:pPr>
          </w:p>
        </w:tc>
      </w:tr>
      <w:tr>
        <w:trPr>
          <w:cantSplit/>
          <w:trHeight w:val="480" w:hRule="atLeast"/>
        </w:trPr>
        <w:tc>
          <w:tcPr>
            <w:tcW w:w="2520" w:type="dxa"/>
          </w:tcPr>
          <w:p>
            <w:pPr>
              <w:spacing w:after="0"/>
            </w:pPr>
            <w:r>
              <w:t xml:space="preserve">G7</w:t>
            </w:r>
          </w:p>
        </w:tc>
        <w:tc>
          <w:tcPr>
            <w:tcW w:w="2520" w:type="dxa"/>
          </w:tcPr>
          <w:p>
            <w:pPr>
              <w:spacing w:after="0"/>
            </w:pPr>
            <w:r>
              <w:t xml:space="preserve">Does it use AI features, or will it handle organizational data? If yes, send it through the AI intake method before approval. </w:t>
            </w:r>
            <w:r>
              <w:rPr>
                <w:b/>
              </w:rPr>
              <w:t xml:space="preserve">XW-021</w:t>
            </w:r>
            <w:r>
              <w:t xml:space="preserve"> </w:t>
            </w:r>
            <w:r>
              <w:rPr>
                <w:b/>
              </w:rPr>
              <w:t xml:space="preserve">XW-022</w:t>
            </w:r>
            <w:r>
              <w:t xml:space="preserve"> </w:t>
            </w:r>
            <w:r>
              <w:rPr>
                <w:b/>
              </w:rPr>
              <w:t xml:space="preserve">XW-028</w:t>
            </w:r>
          </w:p>
        </w:tc>
        <w:tc>
          <w:tcPr>
            <w:tcW w:w="2520" w:type="dxa"/>
          </w:tcPr>
          <w:p>
            <w:pPr>
              <w:spacing w:after="0"/>
            </w:pPr>
          </w:p>
        </w:tc>
        <w:tc>
          <w:tcPr>
            <w:tcW w:w="2520" w:type="dxa"/>
          </w:tcPr>
          <w:p>
            <w:pPr>
              <w:spacing w:after="0"/>
            </w:pPr>
          </w:p>
        </w:tc>
      </w:tr>
    </w:tbl>
    <w:p>
      <w:pPr>
        <w:spacing w:after="0"/>
      </w:pPr>
    </w:p>
    <w:p>
      <w:pPr>
        <w:pStyle w:val="Heading2"/>
      </w:pPr>
      <w:r>
        <w:t xml:space="preserve">Part 3: Buy it well</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2520"/>
        <w:gridCol w:w="2520"/>
        <w:gridCol w:w="2520"/>
        <w:gridCol w:w="2520"/>
      </w:tblGrid>
      <w:tr>
        <w:trPr>
          <w:cantSplit/>
          <w:tblHeader/>
        </w:trPr>
        <w:tc>
          <w:tcPr>
            <w:tcW w:w="2520" w:type="dxa"/>
            <w:shd w:val="clear" w:color="auto" w:fill="D9E2E7"/>
          </w:tcPr>
          <w:p>
            <w:pPr>
              <w:spacing w:after="0"/>
            </w:pPr>
            <w:r>
              <w:rPr>
                <w:b/>
              </w:rPr>
              <w:t xml:space="preserve">#</w:t>
            </w:r>
          </w:p>
        </w:tc>
        <w:tc>
          <w:tcPr>
            <w:tcW w:w="2520" w:type="dxa"/>
            <w:shd w:val="clear" w:color="auto" w:fill="D9E2E7"/>
          </w:tcPr>
          <w:p>
            <w:pPr>
              <w:spacing w:after="0"/>
            </w:pPr>
            <w:r>
              <w:rPr>
                <w:b/>
              </w:rPr>
              <w:t xml:space="preserve">Question</w:t>
            </w:r>
          </w:p>
        </w:tc>
        <w:tc>
          <w:tcPr>
            <w:tcW w:w="2520" w:type="dxa"/>
            <w:shd w:val="clear" w:color="auto" w:fill="D9E2E7"/>
          </w:tcPr>
          <w:p>
            <w:pPr>
              <w:spacing w:after="0"/>
            </w:pPr>
            <w:r>
              <w:rPr>
                <w:b/>
              </w:rPr>
              <w:t xml:space="preserve">Result</w:t>
            </w:r>
          </w:p>
        </w:tc>
        <w:tc>
          <w:tcPr>
            <w:tcW w:w="2520" w:type="dxa"/>
            <w:shd w:val="clear" w:color="auto" w:fill="D9E2E7"/>
          </w:tcPr>
          <w:p>
            <w:pPr>
              <w:spacing w:after="0"/>
            </w:pPr>
            <w:r>
              <w:rPr>
                <w:b/>
              </w:rPr>
              <w:t xml:space="preserve">Evidence</w:t>
            </w:r>
          </w:p>
        </w:tc>
      </w:tr>
      <w:tr>
        <w:trPr>
          <w:cantSplit/>
          <w:trHeight w:val="480" w:hRule="atLeast"/>
        </w:trPr>
        <w:tc>
          <w:tcPr>
            <w:tcW w:w="2520" w:type="dxa"/>
          </w:tcPr>
          <w:p>
            <w:pPr>
              <w:spacing w:after="0"/>
            </w:pPr>
            <w:r>
              <w:t xml:space="preserve">G8</w:t>
            </w:r>
          </w:p>
        </w:tc>
        <w:tc>
          <w:tcPr>
            <w:tcW w:w="2520" w:type="dxa"/>
          </w:tcPr>
          <w:p>
            <w:pPr>
              <w:spacing w:after="0"/>
            </w:pPr>
            <w:r>
              <w:t xml:space="preserve">Does the vendor have a volume threshold, bundle or enterprise agreement already in a contract that covers this? Check </w:t>
            </w:r>
            <w:r>
              <w:t xml:space="preserve">Vendor contract register template</w:t>
            </w:r>
            <w:r>
              <w:t xml:space="preserve">. </w:t>
            </w:r>
            <w:r>
              <w:rPr>
                <w:b/>
              </w:rPr>
              <w:t xml:space="preserve">XW-013</w:t>
            </w:r>
          </w:p>
        </w:tc>
        <w:tc>
          <w:tcPr>
            <w:tcW w:w="2520" w:type="dxa"/>
          </w:tcPr>
          <w:p>
            <w:pPr>
              <w:spacing w:after="0"/>
            </w:pPr>
          </w:p>
        </w:tc>
        <w:tc>
          <w:tcPr>
            <w:tcW w:w="2520" w:type="dxa"/>
          </w:tcPr>
          <w:p>
            <w:pPr>
              <w:spacing w:after="0"/>
            </w:pPr>
          </w:p>
        </w:tc>
      </w:tr>
      <w:tr>
        <w:trPr>
          <w:cantSplit/>
          <w:trHeight w:val="480" w:hRule="atLeast"/>
        </w:trPr>
        <w:tc>
          <w:tcPr>
            <w:tcW w:w="2520" w:type="dxa"/>
          </w:tcPr>
          <w:p>
            <w:pPr>
              <w:spacing w:after="0"/>
            </w:pPr>
            <w:r>
              <w:t xml:space="preserve">G9</w:t>
            </w:r>
          </w:p>
        </w:tc>
        <w:tc>
          <w:tcPr>
            <w:tcW w:w="2520" w:type="dxa"/>
          </w:tcPr>
          <w:p>
            <w:pPr>
              <w:spacing w:after="0"/>
            </w:pPr>
            <w:r>
              <w:t xml:space="preserve">Are the license metric and the terms that matter (use rights, transfer, upgrade) confirmed against the contract? Use </w:t>
            </w:r>
            <w:r>
              <w:t xml:space="preserve">Contract terms check template</w:t>
            </w:r>
            <w:r>
              <w:t xml:space="preserve"> where anything is unclear.</w:t>
            </w:r>
          </w:p>
        </w:tc>
        <w:tc>
          <w:tcPr>
            <w:tcW w:w="2520" w:type="dxa"/>
          </w:tcPr>
          <w:p>
            <w:pPr>
              <w:spacing w:after="0"/>
            </w:pPr>
          </w:p>
        </w:tc>
        <w:tc>
          <w:tcPr>
            <w:tcW w:w="2520" w:type="dxa"/>
          </w:tcPr>
          <w:p>
            <w:pPr>
              <w:spacing w:after="0"/>
            </w:pPr>
          </w:p>
        </w:tc>
      </w:tr>
      <w:tr>
        <w:trPr>
          <w:cantSplit/>
          <w:trHeight w:val="480" w:hRule="atLeast"/>
        </w:trPr>
        <w:tc>
          <w:tcPr>
            <w:tcW w:w="2520" w:type="dxa"/>
          </w:tcPr>
          <w:p>
            <w:pPr>
              <w:spacing w:after="0"/>
            </w:pPr>
            <w:r>
              <w:t xml:space="preserve">G10</w:t>
            </w:r>
          </w:p>
        </w:tc>
        <w:tc>
          <w:tcPr>
            <w:tcW w:w="2520" w:type="dxa"/>
          </w:tcPr>
          <w:p>
            <w:pPr>
              <w:spacing w:after="0"/>
            </w:pPr>
            <w:r>
              <w:t xml:space="preserve">Is there a named owner for the product after purchase? </w:t>
            </w:r>
            <w:r>
              <w:rPr>
                <w:b/>
              </w:rPr>
              <w:t xml:space="preserve">XW-002</w:t>
            </w:r>
          </w:p>
        </w:tc>
        <w:tc>
          <w:tcPr>
            <w:tcW w:w="2520" w:type="dxa"/>
          </w:tcPr>
          <w:p>
            <w:pPr>
              <w:spacing w:after="0"/>
            </w:pPr>
          </w:p>
        </w:tc>
        <w:tc>
          <w:tcPr>
            <w:tcW w:w="2520" w:type="dxa"/>
          </w:tcPr>
          <w:p>
            <w:pPr>
              <w:spacing w:after="0"/>
            </w:pPr>
          </w:p>
        </w:tc>
      </w:tr>
      <w:tr>
        <w:trPr>
          <w:cantSplit/>
          <w:trHeight w:val="480" w:hRule="atLeast"/>
        </w:trPr>
        <w:tc>
          <w:tcPr>
            <w:tcW w:w="2520" w:type="dxa"/>
          </w:tcPr>
          <w:p>
            <w:pPr>
              <w:spacing w:after="0"/>
            </w:pPr>
            <w:r>
              <w:t xml:space="preserve">G11</w:t>
            </w:r>
          </w:p>
        </w:tc>
        <w:tc>
          <w:tcPr>
            <w:tcW w:w="2520" w:type="dxa"/>
          </w:tcPr>
          <w:p>
            <w:pPr>
              <w:spacing w:after="0"/>
            </w:pPr>
            <w:r>
              <w:t xml:space="preserve">Who approves, and is that person different from the requester? The approval goes in </w:t>
            </w:r>
            <w:r>
              <w:t xml:space="preserve">Authorization log template</w:t>
            </w:r>
            <w:r>
              <w:t xml:space="preserve">. (7.6.3) </w:t>
            </w:r>
            <w:r>
              <w:rPr>
                <w:b/>
              </w:rPr>
              <w:t xml:space="preserve">XW-019</w:t>
            </w:r>
          </w:p>
        </w:tc>
        <w:tc>
          <w:tcPr>
            <w:tcW w:w="2520" w:type="dxa"/>
          </w:tcPr>
          <w:p>
            <w:pPr>
              <w:spacing w:after="0"/>
            </w:pPr>
          </w:p>
        </w:tc>
        <w:tc>
          <w:tcPr>
            <w:tcW w:w="2520" w:type="dxa"/>
          </w:tcPr>
          <w:p>
            <w:pPr>
              <w:spacing w:after="0"/>
            </w:pPr>
          </w:p>
        </w:tc>
      </w:tr>
      <w:tr>
        <w:trPr>
          <w:cantSplit/>
          <w:trHeight w:val="480" w:hRule="atLeast"/>
        </w:trPr>
        <w:tc>
          <w:tcPr>
            <w:tcW w:w="2520" w:type="dxa"/>
          </w:tcPr>
          <w:p>
            <w:pPr>
              <w:spacing w:after="0"/>
            </w:pPr>
            <w:r>
              <w:t xml:space="preserve">G12</w:t>
            </w:r>
          </w:p>
        </w:tc>
        <w:tc>
          <w:tcPr>
            <w:tcW w:w="2520" w:type="dxa"/>
          </w:tcPr>
          <w:p>
            <w:pPr>
              <w:spacing w:after="0"/>
            </w:pPr>
            <w:r>
              <w:t xml:space="preserve">Is the proof of purchase filed where </w:t>
            </w:r>
            <w:r>
              <w:t xml:space="preserve">Proof of purchase check template</w:t>
            </w:r>
            <w:r>
              <w:t xml:space="preserve"> expects to find it, and is the entitlement recorded in </w:t>
            </w:r>
            <w:r>
              <w:t xml:space="preserve">License position template</w:t>
            </w:r>
            <w:r>
              <w:t xml:space="preserve">? (8.4) </w:t>
            </w:r>
            <w:r>
              <w:rPr>
                <w:b/>
              </w:rPr>
              <w:t xml:space="preserve">XW-006</w:t>
            </w:r>
            <w:r>
              <w:t xml:space="preserve"> </w:t>
            </w:r>
            <w:r>
              <w:rPr>
                <w:b/>
              </w:rPr>
              <w:t xml:space="preserve">XW-020</w:t>
            </w:r>
          </w:p>
        </w:tc>
        <w:tc>
          <w:tcPr>
            <w:tcW w:w="2520" w:type="dxa"/>
          </w:tcPr>
          <w:p>
            <w:pPr>
              <w:spacing w:after="0"/>
            </w:pPr>
          </w:p>
        </w:tc>
        <w:tc>
          <w:tcPr>
            <w:tcW w:w="2520" w:type="dxa"/>
          </w:tcPr>
          <w:p>
            <w:pPr>
              <w:spacing w:after="0"/>
            </w:pPr>
          </w:p>
        </w:tc>
      </w:tr>
    </w:tbl>
    <w:p>
      <w:pPr>
        <w:spacing w:after="0"/>
      </w:pPr>
    </w:p>
    <w:p>
      <w:pPr>
        <w:pStyle w:val="Heading2"/>
      </w:pPr>
      <w:r>
        <w:t xml:space="preserve">Part 4: Spend outside procurement</w:t>
      </w:r>
    </w:p>
    <w:p>
      <w:r>
        <w:t xml:space="preserve">Run this part on a schedule (monthly or quarterly), not per request.</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2520"/>
        <w:gridCol w:w="2520"/>
        <w:gridCol w:w="2520"/>
        <w:gridCol w:w="2520"/>
      </w:tblGrid>
      <w:tr>
        <w:trPr>
          <w:cantSplit/>
          <w:tblHeader/>
        </w:trPr>
        <w:tc>
          <w:tcPr>
            <w:tcW w:w="2520" w:type="dxa"/>
            <w:shd w:val="clear" w:color="auto" w:fill="D9E2E7"/>
          </w:tcPr>
          <w:p>
            <w:pPr>
              <w:spacing w:after="0"/>
            </w:pPr>
            <w:r>
              <w:rPr>
                <w:b/>
              </w:rPr>
              <w:t xml:space="preserve">#</w:t>
            </w:r>
          </w:p>
        </w:tc>
        <w:tc>
          <w:tcPr>
            <w:tcW w:w="2520" w:type="dxa"/>
            <w:shd w:val="clear" w:color="auto" w:fill="D9E2E7"/>
          </w:tcPr>
          <w:p>
            <w:pPr>
              <w:spacing w:after="0"/>
            </w:pPr>
            <w:r>
              <w:rPr>
                <w:b/>
              </w:rPr>
              <w:t xml:space="preserve">Check</w:t>
            </w:r>
          </w:p>
        </w:tc>
        <w:tc>
          <w:tcPr>
            <w:tcW w:w="2520" w:type="dxa"/>
            <w:shd w:val="clear" w:color="auto" w:fill="D9E2E7"/>
          </w:tcPr>
          <w:p>
            <w:pPr>
              <w:spacing w:after="0"/>
            </w:pPr>
            <w:r>
              <w:rPr>
                <w:b/>
              </w:rPr>
              <w:t xml:space="preserve">Result</w:t>
            </w:r>
          </w:p>
        </w:tc>
        <w:tc>
          <w:tcPr>
            <w:tcW w:w="2520" w:type="dxa"/>
            <w:shd w:val="clear" w:color="auto" w:fill="D9E2E7"/>
          </w:tcPr>
          <w:p>
            <w:pPr>
              <w:spacing w:after="0"/>
            </w:pPr>
            <w:r>
              <w:rPr>
                <w:b/>
              </w:rPr>
              <w:t xml:space="preserve">Evidence</w:t>
            </w:r>
          </w:p>
        </w:tc>
      </w:tr>
      <w:tr>
        <w:trPr>
          <w:cantSplit/>
          <w:trHeight w:val="480" w:hRule="atLeast"/>
        </w:trPr>
        <w:tc>
          <w:tcPr>
            <w:tcW w:w="2520" w:type="dxa"/>
          </w:tcPr>
          <w:p>
            <w:pPr>
              <w:spacing w:after="0"/>
            </w:pPr>
            <w:r>
              <w:t xml:space="preserve">S1</w:t>
            </w:r>
          </w:p>
        </w:tc>
        <w:tc>
          <w:tcPr>
            <w:tcW w:w="2520" w:type="dxa"/>
          </w:tcPr>
          <w:p>
            <w:pPr>
              <w:spacing w:after="0"/>
            </w:pPr>
            <w:r>
              <w:t xml:space="preserve">Expense card and reimbursement lines reviewed for software and subscription purchases.</w:t>
            </w:r>
          </w:p>
        </w:tc>
        <w:tc>
          <w:tcPr>
            <w:tcW w:w="2520" w:type="dxa"/>
          </w:tcPr>
          <w:p>
            <w:pPr>
              <w:spacing w:after="0"/>
            </w:pPr>
          </w:p>
        </w:tc>
        <w:tc>
          <w:tcPr>
            <w:tcW w:w="2520" w:type="dxa"/>
          </w:tcPr>
          <w:p>
            <w:pPr>
              <w:spacing w:after="0"/>
            </w:pPr>
          </w:p>
        </w:tc>
      </w:tr>
      <w:tr>
        <w:trPr>
          <w:cantSplit/>
          <w:trHeight w:val="480" w:hRule="atLeast"/>
        </w:trPr>
        <w:tc>
          <w:tcPr>
            <w:tcW w:w="2520" w:type="dxa"/>
          </w:tcPr>
          <w:p>
            <w:pPr>
              <w:spacing w:after="0"/>
            </w:pPr>
            <w:r>
              <w:t xml:space="preserve">S2</w:t>
            </w:r>
          </w:p>
        </w:tc>
        <w:tc>
          <w:tcPr>
            <w:tcW w:w="2520" w:type="dxa"/>
          </w:tcPr>
          <w:p>
            <w:pPr>
              <w:spacing w:after="0"/>
            </w:pPr>
            <w:r>
              <w:t xml:space="preserve">Department budgets and cost-center reports reviewed for software lines not seen at the gate. </w:t>
            </w:r>
            <w:r>
              <w:rPr>
                <w:b/>
              </w:rPr>
              <w:t xml:space="preserve">XW-012</w:t>
            </w:r>
          </w:p>
        </w:tc>
        <w:tc>
          <w:tcPr>
            <w:tcW w:w="2520" w:type="dxa"/>
          </w:tcPr>
          <w:p>
            <w:pPr>
              <w:spacing w:after="0"/>
            </w:pPr>
          </w:p>
        </w:tc>
        <w:tc>
          <w:tcPr>
            <w:tcW w:w="2520" w:type="dxa"/>
          </w:tcPr>
          <w:p>
            <w:pPr>
              <w:spacing w:after="0"/>
            </w:pPr>
          </w:p>
        </w:tc>
      </w:tr>
      <w:tr>
        <w:trPr>
          <w:cantSplit/>
          <w:trHeight w:val="480" w:hRule="atLeast"/>
        </w:trPr>
        <w:tc>
          <w:tcPr>
            <w:tcW w:w="2520" w:type="dxa"/>
          </w:tcPr>
          <w:p>
            <w:pPr>
              <w:spacing w:after="0"/>
            </w:pPr>
            <w:r>
              <w:t xml:space="preserve">S3</w:t>
            </w:r>
          </w:p>
        </w:tc>
        <w:tc>
          <w:tcPr>
            <w:tcW w:w="2520" w:type="dxa"/>
          </w:tcPr>
          <w:p>
            <w:pPr>
              <w:spacing w:after="0"/>
            </w:pPr>
            <w:r>
              <w:t xml:space="preserve">Each item found is entered in the asset record and the license position, or stopped.</w:t>
            </w:r>
          </w:p>
        </w:tc>
        <w:tc>
          <w:tcPr>
            <w:tcW w:w="2520" w:type="dxa"/>
          </w:tcPr>
          <w:p>
            <w:pPr>
              <w:spacing w:after="0"/>
            </w:pPr>
          </w:p>
        </w:tc>
        <w:tc>
          <w:tcPr>
            <w:tcW w:w="2520" w:type="dxa"/>
          </w:tcPr>
          <w:p>
            <w:pPr>
              <w:spacing w:after="0"/>
            </w:pPr>
          </w:p>
        </w:tc>
      </w:tr>
      <w:tr>
        <w:trPr>
          <w:cantSplit/>
          <w:trHeight w:val="480" w:hRule="atLeast"/>
        </w:trPr>
        <w:tc>
          <w:tcPr>
            <w:tcW w:w="2520" w:type="dxa"/>
          </w:tcPr>
          <w:p>
            <w:pPr>
              <w:spacing w:after="0"/>
            </w:pPr>
            <w:r>
              <w:t xml:space="preserve">S4</w:t>
            </w:r>
          </w:p>
        </w:tc>
        <w:tc>
          <w:tcPr>
            <w:tcW w:w="2520" w:type="dxa"/>
          </w:tcPr>
          <w:p>
            <w:pPr>
              <w:spacing w:after="0"/>
            </w:pPr>
            <w:r>
              <w:t xml:space="preserve">Each item found has its path-gap noted, so the requester knows how to use the gate next time.</w:t>
            </w:r>
          </w:p>
        </w:tc>
        <w:tc>
          <w:tcPr>
            <w:tcW w:w="2520" w:type="dxa"/>
          </w:tcPr>
          <w:p>
            <w:pPr>
              <w:spacing w:after="0"/>
            </w:pPr>
          </w:p>
        </w:tc>
        <w:tc>
          <w:tcPr>
            <w:tcW w:w="2520" w:type="dxa"/>
          </w:tcPr>
          <w:p>
            <w:pPr>
              <w:spacing w:after="0"/>
            </w:pPr>
          </w:p>
        </w:tc>
      </w:tr>
    </w:tbl>
    <w:p>
      <w:pPr>
        <w:spacing w:after="0"/>
      </w:pPr>
    </w:p>
    <w:p>
      <w:pPr>
        <w:pStyle w:val="Heading2"/>
      </w:pPr>
      <w:r>
        <w:t xml:space="preserve">Decision</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2520"/>
        <w:gridCol w:w="2520"/>
        <w:gridCol w:w="2520"/>
        <w:gridCol w:w="2520"/>
      </w:tblGrid>
      <w:tr>
        <w:trPr>
          <w:cantSplit/>
          <w:tblHeader/>
        </w:trPr>
        <w:tc>
          <w:tcPr>
            <w:tcW w:w="2520" w:type="dxa"/>
            <w:shd w:val="clear" w:color="auto" w:fill="D9E2E7"/>
          </w:tcPr>
          <w:p>
            <w:pPr>
              <w:spacing w:after="0"/>
            </w:pPr>
            <w:r>
              <w:rPr>
                <w:b/>
              </w:rPr>
              <w:t xml:space="preserve">Decision</w:t>
            </w:r>
          </w:p>
        </w:tc>
        <w:tc>
          <w:tcPr>
            <w:tcW w:w="2520" w:type="dxa"/>
            <w:shd w:val="clear" w:color="auto" w:fill="D9E2E7"/>
          </w:tcPr>
          <w:p>
            <w:pPr>
              <w:spacing w:after="0"/>
            </w:pPr>
            <w:r>
              <w:rPr>
                <w:b/>
              </w:rPr>
              <w:t xml:space="preserve">Owner</w:t>
            </w:r>
          </w:p>
        </w:tc>
        <w:tc>
          <w:tcPr>
            <w:tcW w:w="2520" w:type="dxa"/>
            <w:shd w:val="clear" w:color="auto" w:fill="D9E2E7"/>
          </w:tcPr>
          <w:p>
            <w:pPr>
              <w:spacing w:after="0"/>
            </w:pPr>
            <w:r>
              <w:rPr>
                <w:b/>
              </w:rPr>
              <w:t xml:space="preserve">Approver</w:t>
            </w:r>
          </w:p>
        </w:tc>
        <w:tc>
          <w:tcPr>
            <w:tcW w:w="2520" w:type="dxa"/>
            <w:shd w:val="clear" w:color="auto" w:fill="D9E2E7"/>
          </w:tcPr>
          <w:p>
            <w:pPr>
              <w:spacing w:after="0"/>
            </w:pPr>
            <w:r>
              <w:rPr>
                <w:b/>
              </w:rPr>
              <w:t xml:space="preserve">Date</w:t>
            </w:r>
          </w:p>
        </w:tc>
      </w:tr>
      <w:tr>
        <w:trPr>
          <w:cantSplit/>
          <w:trHeight w:val="480" w:hRule="atLeast"/>
        </w:trPr>
        <w:tc>
          <w:tcPr>
            <w:tcW w:w="2520" w:type="dxa"/>
          </w:tcPr>
          <w:p>
            <w:pPr>
              <w:spacing w:after="0"/>
            </w:pPr>
            <w:r>
              <w:t xml:space="preserve">Buy / redeploy / use existing / decline / exception</w:t>
            </w:r>
          </w:p>
        </w:tc>
        <w:tc>
          <w:tcPr>
            <w:tcW w:w="2520" w:type="dxa"/>
          </w:tcPr>
          <w:p>
            <w:pPr>
              <w:spacing w:after="0"/>
            </w:pPr>
          </w:p>
        </w:tc>
        <w:tc>
          <w:tcPr>
            <w:tcW w:w="2520" w:type="dxa"/>
          </w:tcPr>
          <w:p>
            <w:pPr>
              <w:spacing w:after="0"/>
            </w:pPr>
          </w:p>
        </w:tc>
        <w:tc>
          <w:tcPr>
            <w:tcW w:w="2520" w:type="dxa"/>
          </w:tcPr>
          <w:p>
            <w:pPr>
              <w:spacing w:after="0"/>
            </w:pPr>
          </w:p>
        </w:tc>
      </w:tr>
    </w:tbl>
    <w:p>
      <w:pPr>
        <w:spacing w:after="0"/>
      </w:pPr>
    </w:p>
    <w:p>
      <w:r>
        <w:t xml:space="preserve">Source: ISO/IEC 19770-1:2017 clauses 7.6.3 and 8.4, and Annex A. Paraphrased; this is not a substitute for the standard.</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