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Governance program launch SOP</w:t>
      </w:r>
    </w:p>
    <w:p>
      <w:pPr>
        <w:pStyle w:val="Heading2"/>
      </w:pPr>
      <w:r>
        <w:t xml:space="preserve">Purpose</w:t>
      </w:r>
    </w:p>
    <w:p>
      <w:r>
        <w:t xml:space="preserve">Stand up a governance body — a software governance council, an ITAM steering group, or an AI governance board — that makes real, enforceable decisions from its first meeting, instead of becoming a rubber stamp or a bottleneck nobody trusts.</w:t>
      </w:r>
    </w:p>
    <w:p>
      <w:pPr>
        <w:pStyle w:val="Heading2"/>
      </w:pPr>
      <w:r>
        <w:t xml:space="preserve">Scope</w:t>
      </w:r>
    </w:p>
    <w:p>
      <w:r>
        <w:t xml:space="preserve">Applies whenever a new governance body is proposed, and whenever an existing one is relaunched because its charter, membership, or decision rights no longer match how decisions actually get made.</w:t>
      </w:r>
    </w:p>
    <w:p>
      <w:pPr>
        <w:pStyle w:val="Heading2"/>
      </w:pPr>
      <w:r>
        <w:t xml:space="preserve">Roles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Sponsor</w:t>
      </w:r>
      <w:r>
        <w:t xml:space="preserve"> — the executive who controls the relevant budget, is accountable for the program, and signs the charter. No sponsor means no enforcement.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Chair</w:t>
      </w:r>
      <w:r>
        <w:t xml:space="preserve"> — runs meetings, owns the standing agenda, and is the tie-break of last resort below the sponsor.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Secretary / triage owner</w:t>
      </w:r>
      <w:r>
        <w:t xml:space="preserve"> — screens intake against the thresholds, keeps the decision log, and confirms actions from prior meetings are closed before the next one.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Voting members</w:t>
      </w:r>
      <w:r>
        <w:t xml:space="preserve"> — the 5 to 9 people who decide on items that reach the body, drawn from the functions the charter names.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Consulted members</w:t>
      </w:r>
      <w:r>
        <w:t xml:space="preserve"> — non-voting roles whose input is sought on relevant items but who do not hold a vote.</w:t>
      </w:r>
    </w:p>
    <w:p>
      <w:pPr>
        <w:pStyle w:val="Heading2"/>
      </w:pPr>
      <w:r>
        <w:t xml:space="preserve">Frequency</w:t>
      </w:r>
    </w:p>
    <w:p>
      <w:r>
        <w:t xml:space="preserve">Monthly meetings. The charter, membership, and decision rights are reviewed yearly, or immediately if the body starts rubber-stamping items or items start bypassing it.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Agree the problem statement in one sentence: what goes wrong today without this body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Name an executive sponsor with budget authority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Write down decision rights and the thresholds that route an item to the body versus a named role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Name 5 to 9 voting members, drawn from the functions the charter's scope requires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Put an intake form and a named triage owner live, so only exceptions and above-threshold items reach the meeting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Agree procurement enforcement, and settle any overlap with adjacent bodies (for example an architecture or change board) in writing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Set the cadence, standing agenda, and decision log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Write down the escalation and tie-break path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Define success measures and a baseline to measure them from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Get the charter approved by the sponsor and publish it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Hold the first metrics review at day 90 </w:t>
      </w:r>
      <w:r>
        <w:rPr>
          <w:b/>
        </w:rPr>
        <w:t xml:space="preserve">XW-025</w:t>
      </w:r>
    </w:p>
    <w:p>
      <w:pPr>
        <w:pStyle w:val="Heading2"/>
      </w:pPr>
      <w:r>
        <w:t xml:space="preserve">Evidence to retain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approved charter, including decision rights, thresholds, and membership.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intake log and triage decisions.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meeting decision log, dated and tied to the standing agenda.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success-measure baseline and each subsequent metrics review.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sponsor's charter approval and any later re-approval.</w:t>
      </w:r>
    </w:p>
    <w:p>
      <w:r>
        <w:t xml:space="preserve">Design the intake log, decision log, and metrics review so each is a direct by-product of running the body, not something rebuilt after the fact when an auditor or a new sponsor asks what it decided and why.</w:t>
      </w:r>
    </w:p>
    <w:p>
      <w:pPr>
        <w:pStyle w:val="Heading2"/>
      </w:pPr>
      <w:r>
        <w:t xml:space="preserve">Related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**Governance framework crosswalk**</w:t>
      </w:r>
      <w:r>
        <w:t xml:space="preserve"> (</w:t>
      </w:r>
      <w:r>
        <w:rPr>
          <w:rFonts w:ascii="Consolas" w:hAnsi="Consolas"/>
        </w:rPr>
        <w:t xml:space="preserve">crosswalk</w:t>
      </w:r>
      <w:r>
        <w:t xml:space="preserve">) — supplies the framework rows this program's charter and decision rights map to.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**ITAM maturity check**</w:t>
      </w:r>
      <w:r>
        <w:t xml:space="preserve"> (</w:t>
      </w:r>
      <w:r>
        <w:rPr>
          <w:rFonts w:ascii="Consolas" w:hAnsi="Consolas"/>
        </w:rPr>
        <w:t xml:space="preserve">itam-maturity</w:t>
      </w:r>
      <w:r>
        <w:t xml:space="preserve">) — its governance area score depends on this program's charter, sponsor, and decision rights being in place.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**Application rationalization**</w:t>
      </w:r>
      <w:r>
        <w:t xml:space="preserve"> (</w:t>
      </w:r>
      <w:r>
        <w:rPr>
          <w:rFonts w:ascii="Consolas" w:hAnsi="Consolas"/>
        </w:rPr>
        <w:t xml:space="preserve">rationalization</w:t>
      </w:r>
      <w:r>
        <w:t xml:space="preserve">) — brings its consolidate/retain/retire recommendations to this body for decisions above threshold.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**AI system intake and risk tiering**</w:t>
      </w:r>
      <w:r>
        <w:t xml:space="preserve"> (</w:t>
      </w:r>
      <w:r>
        <w:rPr>
          <w:rFonts w:ascii="Consolas" w:hAnsi="Consolas"/>
        </w:rPr>
        <w:t xml:space="preserve">ai-intake</w:t>
      </w:r>
      <w:r>
        <w:t xml:space="preserve">) — routes high-risk and prohibited-practice findings to this body for the sponsor and legal decision it flags.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**Access review pack**</w:t>
      </w:r>
      <w:r>
        <w:t xml:space="preserve"> (</w:t>
      </w:r>
      <w:r>
        <w:rPr>
          <w:rFonts w:ascii="Consolas" w:hAnsi="Consolas"/>
        </w:rPr>
        <w:t xml:space="preserve">access-review</w:t>
      </w:r>
      <w:r>
        <w:t xml:space="preserve">) — reports its exceptions to the sponsor and owner roles this program names.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