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Halden Software Governance Council — draft charter</w:t>
      </w:r>
    </w:p>
    <w:p>
      <w:pPr>
        <w:pStyle w:val="Heading2"/>
      </w:pPr>
      <w:r>
        <w:t xml:space="preserve">Purpose</w:t>
      </w:r>
    </w:p>
    <w:p>
      <w:r>
        <w:t xml:space="preserve">The council oversees software and applications at Halden Logistics.</w:t>
      </w:r>
    </w:p>
    <w:p>
      <w:pPr>
        <w:pStyle w:val="Heading2"/>
      </w:pPr>
      <w:r>
        <w:t xml:space="preserve">Members (voting)</w:t>
      </w:r>
    </w:p>
    <w:p>
      <w:r>
        <w:t xml:space="preserve">CIO; CISO; heads of procurement, finance, legal, architecture, HR, operations, warehousing, transport, customer service, sales, marketing; and the service desk lead.</w:t>
      </w:r>
    </w:p>
    <w:p>
      <w:pPr>
        <w:pStyle w:val="Heading2"/>
      </w:pPr>
      <w:r>
        <w:t xml:space="preserve">Meetings</w:t>
      </w:r>
    </w:p>
    <w:p>
      <w:r>
        <w:t xml:space="preserve">Monthly, 90 minutes. Standing agenda: new requests above threshold, exceptions, renewals due, and a review of measures. Outcomes are recorded in a register kept by the governance analyst. Urgent items are handled out of cycle by email vote within five working days.</w:t>
      </w:r>
    </w:p>
    <w:p>
      <w:pPr>
        <w:pStyle w:val="Heading2"/>
      </w:pPr>
      <w:r>
        <w:t xml:space="preserve">Scope</w:t>
      </w:r>
    </w:p>
    <w:p>
      <w:r>
        <w:t xml:space="preserve">New software requests, renewals, retirements, and AI tools.</w:t>
      </w:r>
    </w:p>
    <w:p>
      <w:pPr>
        <w:pStyle w:val="Heading2"/>
      </w:pPr>
      <w:r>
        <w:t xml:space="preserve">Intake</w:t>
      </w:r>
    </w:p>
    <w:p>
      <w:r>
        <w:t xml:space="preserve">Requests come through one software request form. The governance analyst triages requests weekly. Only items above a cost or risk threshold come to the council.</w:t>
      </w:r>
    </w:p>
    <w:p>
      <w:pPr>
        <w:pStyle w:val="Heading2"/>
      </w:pPr>
      <w:r>
        <w:t xml:space="preserve">Escalation</w:t>
      </w:r>
    </w:p>
    <w:p>
      <w:r>
        <w:t xml:space="preserve">Disputes go to the Chief Operating Officer, who does not sit on the council and who breaks ties.</w:t>
      </w:r>
    </w:p>
    <w:p>
      <w:pPr>
        <w:pStyle w:val="Heading2"/>
      </w:pPr>
      <w:r>
        <w:t xml:space="preserve">Measures</w:t>
      </w:r>
    </w:p>
    <w:p>
      <w:r>
        <w:t xml:space="preserve">Time from request to outcome, the share of software bought through the intake form, savings, and exceptions granted. Reviewed quarterly, starting from a baseline set in the first quarter.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