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Governance program launch checklist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Problem statement agreed in one sentence </w:t>
      </w:r>
      <w:r>
        <w:rPr>
          <w:b/>
        </w:rPr>
        <w:t xml:space="preserve">XW-003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Executive sponsor with budget authority named </w:t>
      </w:r>
      <w:r>
        <w:rPr>
          <w:b/>
        </w:rPr>
        <w:t xml:space="preserve">XW-027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Decision rights and thresholds written down </w:t>
      </w:r>
      <w:r>
        <w:rPr>
          <w:b/>
        </w:rPr>
        <w:t xml:space="preserve">XW-027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Voting members named, 5 to 9 people </w:t>
      </w:r>
      <w:r>
        <w:rPr>
          <w:b/>
        </w:rPr>
        <w:t xml:space="preserve">XW-004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Intake form and triage owner live </w:t>
      </w:r>
      <w:r>
        <w:rPr>
          <w:b/>
        </w:rPr>
        <w:t xml:space="preserve">XW-027</w:t>
      </w:r>
    </w:p>
    <w:p>
      <w:pPr>
        <w:spacing w:after="60"/>
        <w:ind w:left="720" w:hanging="360"/>
      </w:pPr>
      <w:r>
        <w:t xml:space="preserve">6.</w:t>
      </w:r>
      <w:r>
        <w:tab/>
      </w:r>
      <w:r>
        <w:t xml:space="preserve">Procurement enforcement agreed; overlaps with other boards settled </w:t>
      </w:r>
      <w:r>
        <w:rPr>
          <w:b/>
        </w:rPr>
        <w:t xml:space="preserve">XW-027</w:t>
      </w:r>
    </w:p>
    <w:p>
      <w:pPr>
        <w:spacing w:after="60"/>
        <w:ind w:left="720" w:hanging="360"/>
      </w:pPr>
      <w:r>
        <w:t xml:space="preserve">7.</w:t>
      </w:r>
      <w:r>
        <w:tab/>
      </w:r>
      <w:r>
        <w:t xml:space="preserve">Cadence, standing agenda, and decision log set up </w:t>
      </w:r>
      <w:r>
        <w:rPr>
          <w:b/>
        </w:rPr>
        <w:t xml:space="preserve">XW-025</w:t>
      </w:r>
    </w:p>
    <w:p>
      <w:pPr>
        <w:spacing w:after="60"/>
        <w:ind w:left="720" w:hanging="360"/>
      </w:pPr>
      <w:r>
        <w:t xml:space="preserve">8.</w:t>
      </w:r>
      <w:r>
        <w:tab/>
      </w:r>
      <w:r>
        <w:t xml:space="preserve">Escalation and tie-break path written down </w:t>
      </w:r>
      <w:r>
        <w:rPr>
          <w:b/>
        </w:rPr>
        <w:t xml:space="preserve">XW-027</w:t>
      </w:r>
    </w:p>
    <w:p>
      <w:pPr>
        <w:spacing w:after="60"/>
        <w:ind w:left="720" w:hanging="360"/>
      </w:pPr>
      <w:r>
        <w:t xml:space="preserve">9.</w:t>
      </w:r>
      <w:r>
        <w:tab/>
      </w:r>
      <w:r>
        <w:t xml:space="preserve">Success measures defined with a baseline </w:t>
      </w:r>
      <w:r>
        <w:rPr>
          <w:b/>
        </w:rPr>
        <w:t xml:space="preserve">XW-025</w:t>
      </w:r>
    </w:p>
    <w:p>
      <w:pPr>
        <w:spacing w:after="60"/>
        <w:ind w:left="720" w:hanging="360"/>
      </w:pPr>
      <w:r>
        <w:t xml:space="preserve">10.</w:t>
      </w:r>
      <w:r>
        <w:tab/>
      </w:r>
      <w:r>
        <w:t xml:space="preserve">Charter approved by the sponsor and published </w:t>
      </w:r>
      <w:r>
        <w:rPr>
          <w:b/>
        </w:rPr>
        <w:t xml:space="preserve">XW-020</w:t>
      </w:r>
    </w:p>
    <w:p>
      <w:pPr>
        <w:spacing w:after="60"/>
        <w:ind w:left="720" w:hanging="360"/>
      </w:pPr>
      <w:r>
        <w:t xml:space="preserve">11.</w:t>
      </w:r>
      <w:r>
        <w:tab/>
      </w:r>
      <w:r>
        <w:t xml:space="preserve">First metrics review held at day 90 </w:t>
      </w:r>
      <w:r>
        <w:rPr>
          <w:b/>
        </w:rPr>
        <w:t xml:space="preserve">XW-025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