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ITAM maturity check SOP</w:t>
      </w:r>
    </w:p>
    <w:p>
      <w:pPr>
        <w:pStyle w:val="Heading2"/>
      </w:pPr>
      <w:r>
        <w:t xml:space="preserve">Purpose</w:t>
      </w:r>
    </w:p>
    <w:p>
      <w:r>
        <w:t xml:space="preserve">Give the organization an honest, evidence-backed picture of how mature its IT asset management practice is across nine process areas, so gaps get named and funded rather than assumed away.</w:t>
      </w:r>
    </w:p>
    <w:p>
      <w:pPr>
        <w:pStyle w:val="Heading2"/>
      </w:pPr>
      <w:r>
        <w:t xml:space="preserve">Scope</w:t>
      </w:r>
    </w:p>
    <w:p>
      <w:r>
        <w:t xml:space="preserve">Applies to the full software and hardware estate in scope for IT asset management, across every business unit and asset type covered by the asset management policy.</w:t>
      </w:r>
    </w:p>
    <w:p>
      <w:pPr>
        <w:pStyle w:val="Heading2"/>
      </w:pPr>
      <w:r>
        <w:t xml:space="preserve">Roles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ITAM manager</w:t>
      </w:r>
      <w:r>
        <w:t xml:space="preserve"> — runs the assessment, collects evidence, and drafts the score table and 90-day plan.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Process owners</w:t>
      </w:r>
      <w:r>
        <w:t xml:space="preserve"> — answer the questions for their area and supply the evidence.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Sponsor</w:t>
      </w:r>
      <w:r>
        <w:t xml:space="preserve"> — confirms the three named gaps, approves owners and budget for the 90-day plan, and signs off the filed assessment.</w:t>
      </w:r>
    </w:p>
    <w:p>
      <w:pPr>
        <w:pStyle w:val="Heading2"/>
      </w:pPr>
      <w:r>
        <w:t xml:space="preserve">Frequency</w:t>
      </w:r>
    </w:p>
    <w:p>
      <w:r>
        <w:t xml:space="preserve">A baseline assessment when the practice starts, then a full re-check every year. Re-run sooner if a major change hits the estate (a merger, a new business unit, or a platform migration).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Agree scope with the sponsor: which estates, business units, and asset types the assessment covers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Collect answers and one piece of evidence per process area from the process owners, one area at a time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Challenge each stated score against its evidence; lower the score and explain why wherever the evidence falls short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Map each of the nine areas to its crosswalk rows so the assessment ties back to the frameworks it draws on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Name the three lowest-scoring areas as the gaps; where scores tie, break the tie by business risk and record the reasoning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Draft a 90-day plan for each gap: one owner role, three concrete actions, and the evidence that will prove progress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Take the named owners and budget to the sponsor for confirmation before the plan starts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File the dated assessment so next year's re-check has a baseline to compare against </w:t>
      </w:r>
      <w:r>
        <w:rPr>
          <w:b/>
        </w:rPr>
        <w:t xml:space="preserve">XW-020</w:t>
      </w:r>
    </w:p>
    <w:p>
      <w:pPr>
        <w:pStyle w:val="Heading2"/>
      </w:pPr>
      <w:r>
        <w:t xml:space="preserve">Evidence to retain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dated score table with the evidence cited for each area.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three named gaps and the tie-break reasoning, where used.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90-day plan, including the sponsor's confirmation of owners and budget.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prior year's assessment, kept alongside the current one for comparison.</w:t>
      </w:r>
    </w:p>
    <w:p>
      <w:pPr>
        <w:pStyle w:val="Heading2"/>
      </w:pPr>
      <w:r>
        <w:t xml:space="preserve">Related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**Governance framework crosswalk**</w:t>
      </w:r>
      <w:r>
        <w:t xml:space="preserve"> (</w:t>
      </w:r>
      <w:r>
        <w:rPr>
          <w:rFonts w:ascii="Consolas" w:hAnsi="Consolas"/>
        </w:rPr>
        <w:t xml:space="preserve">crosswalk</w:t>
      </w:r>
      <w:r>
        <w:t xml:space="preserve">) — supplies the framework rows each maturity area maps to.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**Application rationalization**</w:t>
      </w:r>
      <w:r>
        <w:t xml:space="preserve"> (</w:t>
      </w:r>
      <w:r>
        <w:rPr>
          <w:rFonts w:ascii="Consolas" w:hAnsi="Consolas"/>
        </w:rPr>
        <w:t xml:space="preserve">rationalization</w:t>
      </w:r>
      <w:r>
        <w:t xml:space="preserve">) — takes over an application flagged by a low lifecycle or entitlement score to decide keep, consolidate, or retire.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**AI system intake and risk tiering**</w:t>
      </w:r>
      <w:r>
        <w:t xml:space="preserve"> (</w:t>
      </w:r>
      <w:r>
        <w:rPr>
          <w:rFonts w:ascii="Consolas" w:hAnsi="Consolas"/>
        </w:rPr>
        <w:t xml:space="preserve">ai-intake</w:t>
      </w:r>
      <w:r>
        <w:t xml:space="preserve">) — extends this assessment's inventory and lifecycle questions to AI systems entering the estate.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**Access review pack**</w:t>
      </w:r>
      <w:r>
        <w:t xml:space="preserve"> (</w:t>
      </w:r>
      <w:r>
        <w:rPr>
          <w:rFonts w:ascii="Consolas" w:hAnsi="Consolas"/>
        </w:rPr>
        <w:t xml:space="preserve">access-review</w:t>
      </w:r>
      <w:r>
        <w:t xml:space="preserve">) — runs the access checks that back up the security area's score.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**Stand up a governance program**</w:t>
      </w:r>
      <w:r>
        <w:t xml:space="preserve"> (</w:t>
      </w:r>
      <w:r>
        <w:rPr>
          <w:rFonts w:ascii="Consolas" w:hAnsi="Consolas"/>
        </w:rPr>
        <w:t xml:space="preserve">program-setup</w:t>
      </w:r>
      <w:r>
        <w:t xml:space="preserve">) — stands up the policy and sponsor role this assessment's governance area checks for.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