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ITAM maturity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Scope agreed: which estates, business units, and asset types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Answers and one evidence item collected per process area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Scores challenged against evidence; changes explained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Each area mapped to its crosswalk rows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Three gaps named with tie-break reasoning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90-day plan drafted with owner roles and proof of progress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Owners and budget confirmed by the sponsor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Assessment filed with date for next year's comparison </w:t>
      </w:r>
      <w:r>
        <w:rPr>
          <w:b/>
        </w:rPr>
        <w:t xml:space="preserve">XW-020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