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Crosswalk SOP</w:t>
      </w:r>
    </w:p>
    <w:p>
      <w:pPr>
        <w:pStyle w:val="Heading2"/>
      </w:pPr>
      <w:r>
        <w:t xml:space="preserve">Purpose</w:t>
      </w:r>
    </w:p>
    <w:p>
      <w:r>
        <w:t xml:space="preserve">Give every control, requirement, or policy statement a traceable mapping to ISO/IEC 19770-1, COBIT 2019, ISO/IEC 27001, and ISO/IEC 42001, so a control's origin and its gaps are visible without re-reading the standards.</w:t>
      </w:r>
    </w:p>
    <w:p>
      <w:pPr>
        <w:pStyle w:val="Heading2"/>
      </w:pPr>
      <w:r>
        <w:t xml:space="preserve">Scope</w:t>
      </w:r>
    </w:p>
    <w:p>
      <w:r>
        <w:t xml:space="preserve">Applies to any new or changed control, policy statement, or audit finding that needs a framework citation, across application, AI, and access governance.</w:t>
      </w:r>
    </w:p>
    <w:p>
      <w:pPr>
        <w:pStyle w:val="Heading2"/>
      </w:pPr>
      <w:r>
        <w:t xml:space="preserve">Roles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Control owner</w:t>
      </w:r>
      <w:r>
        <w:t xml:space="preserve"> — drafts or changes the control and requests the mapping.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Governance lead</w:t>
      </w:r>
      <w:r>
        <w:t xml:space="preserve"> — maintains </w:t>
      </w:r>
      <w:r>
        <w:t xml:space="preserve">crosswalk.csv</w:t>
      </w:r>
      <w:r>
        <w:t xml:space="preserve">, resolves ambiguous matches, and approves new rows.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Reviewer</w:t>
      </w:r>
      <w:r>
        <w:t xml:space="preserve"> — a second person who checks the mapping and signs off with a date.</w:t>
      </w:r>
    </w:p>
    <w:p>
      <w:pPr>
        <w:pStyle w:val="Heading2"/>
      </w:pPr>
      <w:r>
        <w:t xml:space="preserve">Frequency</w:t>
      </w:r>
    </w:p>
    <w:p>
      <w:r>
        <w:t xml:space="preserve">On every new or changed control. A full review of all mapped controls runs yearly, or sooner if a cited standard is revised.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Restate the control owner's control in one plain sentence, splitting any bundled obligations into separate lines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Search </w:t>
      </w:r>
      <w:r>
        <w:t xml:space="preserve">crosswalk.csv</w:t>
      </w:r>
      <w:r>
        <w:t xml:space="preserve"> by theme and summary and record the single best-matching row, adding a second row only if it covers a framework the first misses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Record the clause number from that row for each of the four frameworks, or write "no direct equivalent" where none exists </w:t>
      </w:r>
      <w:r>
        <w:rPr>
          <w:b/>
        </w:rPr>
        <w:t xml:space="preserve">XW-003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List each gap by framework and note what that framework's auditor would ask for in its place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Where no existing row fits, propose a new theme and one-sentence summary and route it to the governance lead as a decision, rather than inventing a mapping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Have the reviewer check the completed mapping against the control and sign off with today's date before it is filed </w:t>
      </w:r>
      <w:r>
        <w:rPr>
          <w:b/>
        </w:rPr>
        <w:t xml:space="preserve">XW-020</w:t>
      </w:r>
    </w:p>
    <w:p>
      <w:pPr>
        <w:pStyle w:val="Heading2"/>
      </w:pPr>
      <w:r>
        <w:t xml:space="preserve">Evidence to retain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dated mapping table produced by the Output section (framework, clause, plain-language meaning, gaps).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reviewer's sign-off, including their name and the sign-off date.</w:t>
      </w:r>
    </w:p>
    <w:p>
      <w:pPr>
        <w:pStyle w:val="Heading2"/>
      </w:pPr>
      <w:r>
        <w:t xml:space="preserve">Related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ITAM maturity check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Application rationalization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AI system intake and risk tiering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Access review pack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Stand up a governance program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