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14="http://schemas.microsoft.com/office/word/2010/wordml" xmlns:mc="http://schemas.openxmlformats.org/markup-compatibility/2006" mc:Ignorable="w14">
  <w:body>
    <w:p>
      <w:pPr>
        <w:pStyle w:val="Title"/>
      </w:pPr>
      <w:r>
        <w:t xml:space="preserve">Certification study coach SOP</w:t>
      </w:r>
    </w:p>
    <w:p>
      <w:pPr>
        <w:pStyle w:val="Heading2"/>
      </w:pPr>
      <w:r>
        <w:t xml:space="preserve">Purpose</w:t>
      </w:r>
    </w:p>
    <w:p>
      <w:r>
        <w:t xml:space="preserve">Give a learner repeated, low-stakes practice on the on-the-job tasks behind an ITAM or AI-governance certification, with an honest view of the gaps. It supports study. It does not replace the certification body's course, and it is not exam content.</w:t>
      </w:r>
    </w:p>
    <w:p>
      <w:pPr>
        <w:pStyle w:val="Heading2"/>
      </w:pPr>
      <w:r>
        <w:t xml:space="preserve">Scope</w:t>
      </w:r>
    </w:p>
    <w:p>
      <w:r>
        <w:t xml:space="preserve">Applies to the six certifications in the kit's field guide: CAMP, CSAM, CHAMP, AIGP, ITIL 4 Foundation, and the IAM Certificate. Drills use the fictional Halden Logistics demo estate only. Do not paste real company data into a study session.</w:t>
      </w:r>
    </w:p>
    <w:p>
      <w:pPr>
        <w:pStyle w:val="Heading2"/>
      </w:pPr>
      <w:r>
        <w:t xml:space="preserve">Roles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rPr>
          <w:b/>
        </w:rPr>
        <w:t xml:space="preserve">Learner</w:t>
      </w:r>
      <w:r>
        <w:t xml:space="preserve"> — answers each drill before seeing the data comparison, and chooses what to study next.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rPr>
          <w:b/>
        </w:rPr>
        <w:t xml:space="preserve">Coach</w:t>
      </w:r>
      <w:r>
        <w:t xml:space="preserve"> — the agent or a person running the drills, rating answers, and keeping the log.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rPr>
          <w:b/>
        </w:rPr>
        <w:t xml:space="preserve">Manager or sponsor</w:t>
      </w:r>
      <w:r>
        <w:t xml:space="preserve"> — agrees study time and funds the exam, if the employer pays.</w:t>
      </w:r>
    </w:p>
    <w:p>
      <w:pPr>
        <w:pStyle w:val="Heading2"/>
      </w:pPr>
      <w:r>
        <w:t xml:space="preserve">Frequency</w:t>
      </w:r>
    </w:p>
    <w:p>
      <w:r>
        <w:t xml:space="preserve">One session of 30 to 45 minutes a week until the exam, plus a final readiness session about a week before the exam date.</w:t>
      </w:r>
    </w:p>
    <w:p>
      <w:pPr>
        <w:pStyle w:val="Heading2"/>
      </w:pPr>
      <w:r>
        <w:t xml:space="preserve">Steps</w:t>
      </w:r>
    </w:p>
    <w:p>
      <w:pPr>
        <w:spacing w:after="60"/>
        <w:ind w:left="720" w:hanging="360"/>
      </w:pPr>
      <w:r>
        <w:t xml:space="preserve">1.</w:t>
      </w:r>
      <w:r>
        <w:tab/>
      </w:r>
      <w:r>
        <w:t xml:space="preserve">Confirm the target certification, the learner's experience, weekly hours, and exam date </w:t>
      </w:r>
      <w:r>
        <w:rPr>
          <w:b/>
        </w:rPr>
        <w:t xml:space="preserve">XW-004</w:t>
      </w:r>
    </w:p>
    <w:p>
      <w:pPr>
        <w:spacing w:after="60"/>
        <w:ind w:left="720" w:hanging="360"/>
      </w:pPr>
      <w:r>
        <w:t xml:space="preserve">2.</w:t>
      </w:r>
      <w:r>
        <w:tab/>
      </w:r>
      <w:r>
        <w:t xml:space="preserve">Check the certification against the kit's list; mark anything else </w:t>
      </w:r>
      <w:r>
        <w:rPr>
          <w:b/>
        </w:rPr>
        <w:t xml:space="preserve">Unverified:</w:t>
      </w:r>
      <w:r>
        <w:t xml:space="preserve"> </w:t>
      </w:r>
      <w:r>
        <w:rPr>
          <w:b/>
        </w:rPr>
        <w:t xml:space="preserve">XW-004</w:t>
      </w:r>
    </w:p>
    <w:p>
      <w:pPr>
        <w:spacing w:after="60"/>
        <w:ind w:left="720" w:hanging="360"/>
      </w:pPr>
      <w:r>
        <w:t xml:space="preserve">3.</w:t>
      </w:r>
      <w:r>
        <w:tab/>
      </w:r>
      <w:r>
        <w:t xml:space="preserve">Pick a drill from the learner's weakest area and name the data file to attach </w:t>
      </w:r>
      <w:r>
        <w:rPr>
          <w:b/>
        </w:rPr>
        <w:t xml:space="preserve">XW-001</w:t>
      </w:r>
    </w:p>
    <w:p>
      <w:pPr>
        <w:spacing w:after="60"/>
        <w:ind w:left="720" w:hanging="360"/>
      </w:pPr>
      <w:r>
        <w:t xml:space="preserve">4.</w:t>
      </w:r>
      <w:r>
        <w:tab/>
      </w:r>
      <w:r>
        <w:t xml:space="preserve">Present the scenario and take the learner's answer before giving any hint </w:t>
      </w:r>
      <w:r>
        <w:rPr>
          <w:b/>
        </w:rPr>
        <w:t xml:space="preserve">XW-001</w:t>
      </w:r>
    </w:p>
    <w:p>
      <w:pPr>
        <w:spacing w:after="60"/>
        <w:ind w:left="720" w:hanging="360"/>
      </w:pPr>
      <w:r>
        <w:t xml:space="preserve">5.</w:t>
      </w:r>
      <w:r>
        <w:tab/>
      </w:r>
      <w:r>
        <w:t xml:space="preserve">Compare the answer with the data and explain what was right, what was missed, and why it matters </w:t>
      </w:r>
      <w:r>
        <w:rPr>
          <w:b/>
        </w:rPr>
        <w:t xml:space="preserve">XW-026</w:t>
      </w:r>
    </w:p>
    <w:p>
      <w:pPr>
        <w:spacing w:after="60"/>
        <w:ind w:left="720" w:hanging="360"/>
      </w:pPr>
      <w:r>
        <w:t xml:space="preserve">6.</w:t>
      </w:r>
      <w:r>
        <w:tab/>
      </w:r>
      <w:r>
        <w:t xml:space="preserve">Cite the crosswalk row by number for each point </w:t>
      </w:r>
      <w:r>
        <w:rPr>
          <w:b/>
        </w:rPr>
        <w:t xml:space="preserve">XW-025</w:t>
      </w:r>
    </w:p>
    <w:p>
      <w:pPr>
        <w:spacing w:after="60"/>
        <w:ind w:left="720" w:hanging="360"/>
      </w:pPr>
      <w:r>
        <w:t xml:space="preserve">7.</w:t>
      </w:r>
      <w:r>
        <w:tab/>
      </w:r>
      <w:r>
        <w:t xml:space="preserve">Rate each answer strong, partial, or gap, with one line of reasoning </w:t>
      </w:r>
      <w:r>
        <w:rPr>
          <w:b/>
        </w:rPr>
        <w:t xml:space="preserve">XW-025</w:t>
      </w:r>
    </w:p>
    <w:p>
      <w:pPr>
        <w:spacing w:after="60"/>
        <w:ind w:left="720" w:hanging="360"/>
      </w:pPr>
      <w:r>
        <w:t xml:space="preserve">8.</w:t>
      </w:r>
      <w:r>
        <w:tab/>
      </w:r>
      <w:r>
        <w:t xml:space="preserve">Record each rating and gap in the study log </w:t>
      </w:r>
      <w:r>
        <w:rPr>
          <w:b/>
        </w:rPr>
        <w:t xml:space="preserve">XW-020</w:t>
      </w:r>
    </w:p>
    <w:p>
      <w:pPr>
        <w:spacing w:after="60"/>
        <w:ind w:left="720" w:hanging="360"/>
      </w:pPr>
      <w:r>
        <w:t xml:space="preserve">9.</w:t>
      </w:r>
      <w:r>
        <w:tab/>
      </w:r>
      <w:r>
        <w:t xml:space="preserve">Run three to five drills across different tasks in the session </w:t>
      </w:r>
      <w:r>
        <w:rPr>
          <w:b/>
        </w:rPr>
        <w:t xml:space="preserve">XW-025</w:t>
      </w:r>
    </w:p>
    <w:p>
      <w:pPr>
        <w:spacing w:after="60"/>
        <w:ind w:left="720" w:hanging="360"/>
      </w:pPr>
      <w:r>
        <w:t xml:space="preserve">10.</w:t>
      </w:r>
      <w:r>
        <w:tab/>
      </w:r>
      <w:r>
        <w:t xml:space="preserve">Rank the gaps and suggest the next drills and the matching practicum exercise </w:t>
      </w:r>
      <w:r>
        <w:rPr>
          <w:b/>
        </w:rPr>
        <w:t xml:space="preserve">XW-025</w:t>
      </w:r>
    </w:p>
    <w:p>
      <w:pPr>
        <w:spacing w:after="60"/>
        <w:ind w:left="720" w:hanging="360"/>
      </w:pPr>
      <w:r>
        <w:t xml:space="preserve">11.</w:t>
      </w:r>
      <w:r>
        <w:tab/>
      </w:r>
      <w:r>
        <w:t xml:space="preserve">Name the certification body's own outline and training as the source for exam content </w:t>
      </w:r>
      <w:r>
        <w:rPr>
          <w:b/>
        </w:rPr>
        <w:t xml:space="preserve">XW-027</w:t>
      </w:r>
    </w:p>
    <w:p>
      <w:pPr>
        <w:spacing w:after="60"/>
        <w:ind w:left="720" w:hanging="360"/>
      </w:pPr>
      <w:r>
        <w:t xml:space="preserve">12.</w:t>
      </w:r>
      <w:r>
        <w:tab/>
      </w:r>
      <w:r>
        <w:t xml:space="preserve">Ask the learner to choose the first gap to work and whether to book the exam </w:t>
      </w:r>
      <w:r>
        <w:rPr>
          <w:b/>
        </w:rPr>
        <w:t xml:space="preserve">XW-027</w:t>
      </w:r>
    </w:p>
    <w:p>
      <w:pPr>
        <w:pStyle w:val="Heading2"/>
      </w:pPr>
      <w:r>
        <w:t xml:space="preserve">Evidence to retain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t xml:space="preserve">The study log: date, certification, task, rating, gap, and next drill for every drill.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t xml:space="preserve">The ranked gap list from each session.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t xml:space="preserve">The learner's chosen next step and exam date.</w:t>
      </w:r>
    </w:p>
    <w:p>
      <w:pPr>
        <w:pStyle w:val="Heading2"/>
      </w:pPr>
      <w:r>
        <w:t xml:space="preserve">Related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t xml:space="preserve">Governance framework crosswalk</w:t>
      </w:r>
      <w:r>
        <w:t xml:space="preserve"> (</w:t>
      </w:r>
      <w:r>
        <w:rPr>
          <w:rFonts w:ascii="Consolas" w:hAnsi="Consolas"/>
        </w:rPr>
        <w:t xml:space="preserve">crosswalk</w:t>
      </w:r>
      <w:r>
        <w:t xml:space="preserve">)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t xml:space="preserve">ITAM maturity check</w:t>
      </w:r>
      <w:r>
        <w:t xml:space="preserve"> (</w:t>
      </w:r>
      <w:r>
        <w:rPr>
          <w:rFonts w:ascii="Consolas" w:hAnsi="Consolas"/>
        </w:rPr>
        <w:t xml:space="preserve">itam-maturity</w:t>
      </w:r>
      <w:r>
        <w:t xml:space="preserve">)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t xml:space="preserve">Application rationalization</w:t>
      </w:r>
      <w:r>
        <w:t xml:space="preserve"> (</w:t>
      </w:r>
      <w:r>
        <w:rPr>
          <w:rFonts w:ascii="Consolas" w:hAnsi="Consolas"/>
        </w:rPr>
        <w:t xml:space="preserve">rationalization</w:t>
      </w:r>
      <w:r>
        <w:t xml:space="preserve">)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t xml:space="preserve">AI system intake and risk tiering</w:t>
      </w:r>
      <w:r>
        <w:t xml:space="preserve"> (</w:t>
      </w:r>
      <w:r>
        <w:rPr>
          <w:rFonts w:ascii="Consolas" w:hAnsi="Consolas"/>
        </w:rPr>
        <w:t xml:space="preserve">ai-intake</w:t>
      </w:r>
      <w:r>
        <w:t xml:space="preserve">)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t xml:space="preserve">Hardware lifecycle check</w:t>
      </w:r>
      <w:r>
        <w:t xml:space="preserve"> (</w:t>
      </w:r>
      <w:r>
        <w:rPr>
          <w:rFonts w:ascii="Consolas" w:hAnsi="Consolas"/>
        </w:rPr>
        <w:t xml:space="preserve">hardware-lifecycle</w:t>
      </w:r>
      <w:r>
        <w:t xml:space="preserve">)</w:t>
      </w:r>
    </w:p>
    <w:sectPr>
      <w:pgSz w:w="12240" w:h="15840"/>
      <w:pgMar w:top="1080" w:right="1080" w:bottom="1080" w:left="108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qFormat/>
    <w:pPr>
      <w:keepNext/>
      <w:spacing w:before="0" w:after="120"/>
    </w:pPr>
    <w:rPr>
      <w:b/>
      <w:sz w:val="44"/>
    </w:rPr>
  </w:style>
  <w:style w:type="paragraph" w:styleId="Heading2">
    <w:name w:val="heading 2"/>
    <w:basedOn w:val="Normal"/>
    <w:next w:val="Normal"/>
    <w:qFormat/>
    <w:pPr>
      <w:keepNext/>
      <w:spacing w:before="280" w:after="120"/>
      <w:outlineLvl w:val="1"/>
    </w:pPr>
    <w:rPr>
      <w:b/>
      <w:sz w:val="30"/>
    </w:rPr>
  </w:style>
  <w:style w:type="paragraph" w:styleId="Heading3">
    <w:name w:val="heading 3"/>
    <w:basedOn w:val="Normal"/>
    <w:next w:val="Normal"/>
    <w:qFormat/>
    <w:pPr>
      <w:keepNext/>
      <w:spacing w:before="280" w:after="120"/>
      <w:outlineLvl w:val="2"/>
    </w:pPr>
    <w:rPr>
      <w:b/>
      <w:sz w:val="26"/>
    </w:rPr>
  </w:style>
  <w:style w:type="paragraph" w:styleId="Heading4">
    <w:name w:val="heading 4"/>
    <w:basedOn w:val="Normal"/>
    <w:next w:val="Normal"/>
    <w:qFormat/>
    <w:pPr>
      <w:keepNext/>
      <w:spacing w:before="280" w:after="120"/>
      <w:outlineLvl w:val="3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