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Platform guide: AI system intake and risk tiering</w:t>
      </w:r>
    </w:p>
    <w:p>
      <w:r>
        <w:t xml:space="preserve">Where an AI inventory and AI risk assessments live in ServiceNow, and how Flexera One can surface AI software and SaaS usage. Where no source names a module, table, or field, that is stated as a gap rather than guessed.</w:t>
      </w:r>
    </w:p>
    <w:p>
      <w:pPr>
        <w:pStyle w:val="Heading2"/>
      </w:pPr>
      <w:r>
        <w:t xml:space="preserve">ServiceNow: AI governance and Integrated Risk Management (IRM)</w:t>
      </w:r>
    </w:p>
    <w:p>
      <w:r>
        <w:t xml:space="preserve">ServiceNow's risk and compliance work sits in </w:t>
      </w:r>
      <w:r>
        <w:rPr>
          <w:b/>
        </w:rPr>
        <w:t xml:space="preserve">Integrated Risk Management (IRM)</w:t>
      </w:r>
      <w:r>
        <w:t xml:space="preserve">, its platform for unifying governance, risk, and compliance processes. On top of that, ServiceNow has named a specific governance layer for AI: </w:t>
      </w:r>
      <w:r>
        <w:rPr>
          <w:b/>
        </w:rPr>
        <w:t xml:space="preserve">AI Control Tower</w:t>
      </w:r>
      <w:r>
        <w:t xml:space="preserve"> (also called the "AI Inventory and Control Tower," AICT, in a ServiceNow-employee community post), which ServiceNow's own community documentation describes as a single system of record for AI governance, holding the policies, roles, and approvals that AI use cases pass through as they get registered, classified, assessed, approved, and then monitored. That registration-to-monitoring flow is the closest confirmed analog to this method's intake-to-inventory steps: a use case is registered (this method's restatement and inventory record), classified and assessed (this method's tiering), approved (this method's approval decision), and then monitored (this method's re-review date).</w:t>
      </w:r>
    </w:p>
    <w:p>
      <w:r>
        <w:t xml:space="preserve">ServiceNow's own community writeup maps AI Control Tower's stages directly onto the NIST AI RMF's four functions this method also cites: intake and stakeholder mapping across domains such as IT, HR, Finance, and Security correspond to </w:t>
      </w:r>
      <w:r>
        <w:rPr>
          <w:b/>
        </w:rPr>
        <w:t xml:space="preserve">Map</w:t>
      </w:r>
      <w:r>
        <w:t xml:space="preserve">; assessment workflows and evidence collection correspond to </w:t>
      </w:r>
      <w:r>
        <w:rPr>
          <w:b/>
        </w:rPr>
        <w:t xml:space="preserve">Measure</w:t>
      </w:r>
      <w:r>
        <w:t xml:space="preserve">; centralizing policy, roles, and approvals corresponds to </w:t>
      </w:r>
      <w:r>
        <w:rPr>
          <w:b/>
        </w:rPr>
        <w:t xml:space="preserve">Govern</w:t>
      </w:r>
      <w:r>
        <w:t xml:space="preserve">; and linking identified risks to owners and remediation workflows in a closed loop corresponds to </w:t>
      </w:r>
      <w:r>
        <w:rPr>
          <w:b/>
        </w:rPr>
        <w:t xml:space="preserve">Manage</w:t>
      </w:r>
      <w:r>
        <w:t xml:space="preserve">.</w:t>
      </w:r>
    </w:p>
    <w:p>
      <w:r>
        <w:t xml:space="preserve">AI Control Tower has a documented three-layer data model, confirmed by downloading raw page HTML from ServiceNow Community content and checking it for literal table-name strings — a stronger form of confirmation than a rendered-page read, though these table names come from Community content rather than an official field-level reference page:</w:t>
      </w:r>
    </w:p>
    <w:p>
      <w:pPr>
        <w:spacing w:after="60"/>
        <w:ind w:left="720" w:hanging="360"/>
      </w:pPr>
      <w:r>
        <w:t xml:space="preserve">•</w:t>
      </w:r>
      <w:r>
        <w:tab/>
      </w:r>
      <w:r>
        <w:rPr>
          <w:b/>
        </w:rPr>
        <w:t xml:space="preserve">AI Product Model</w:t>
      </w:r>
      <w:r>
        <w:t xml:space="preserve"> — the catalog-level record for what type of AI something is. Agent/skill class hierarchy: </w:t>
      </w:r>
      <w:r>
        <w:rPr>
          <w:rFonts w:ascii="Consolas" w:hAnsi="Consolas"/>
        </w:rPr>
        <w:t xml:space="preserve">cmdb_model</w:t>
      </w:r>
      <w:r>
        <w:t xml:space="preserve"> → </w:t>
      </w:r>
      <w:r>
        <w:rPr>
          <w:rFonts w:ascii="Consolas" w:hAnsi="Consolas"/>
        </w:rPr>
        <w:t xml:space="preserve">cmdb_sw_component_product_model</w:t>
      </w:r>
      <w:r>
        <w:t xml:space="preserve"> → </w:t>
      </w:r>
      <w:r>
        <w:rPr>
          <w:rFonts w:ascii="Consolas" w:hAnsi="Consolas"/>
        </w:rPr>
        <w:t xml:space="preserve">cmdb_ai_system_component_product_model</w:t>
      </w:r>
      <w:r>
        <w:t xml:space="preserve">; a parallel branch covers models, datasets, prompts, and MCP servers (</w:t>
      </w:r>
      <w:r>
        <w:rPr>
          <w:rFonts w:ascii="Consolas" w:hAnsi="Consolas"/>
        </w:rPr>
        <w:t xml:space="preserve">cmdb_ai_model_product_model</w:t>
      </w:r>
      <w:r>
        <w:t xml:space="preserve">, </w:t>
      </w:r>
      <w:r>
        <w:rPr>
          <w:rFonts w:ascii="Consolas" w:hAnsi="Consolas"/>
        </w:rPr>
        <w:t xml:space="preserve">cmdb_ai_dataset_product_model</w:t>
      </w:r>
      <w:r>
        <w:t xml:space="preserve">, </w:t>
      </w:r>
      <w:r>
        <w:rPr>
          <w:rFonts w:ascii="Consolas" w:hAnsi="Consolas"/>
        </w:rPr>
        <w:t xml:space="preserve">cmdb_ai_prompt_product_model</w:t>
      </w:r>
      <w:r>
        <w:t xml:space="preserve">, </w:t>
      </w:r>
      <w:r>
        <w:rPr>
          <w:rFonts w:ascii="Consolas" w:hAnsi="Consolas"/>
        </w:rPr>
        <w:t xml:space="preserve">cmdb_mcp_product_model</w:t>
      </w:r>
      <w:r>
        <w:t xml:space="preserve">).</w:t>
      </w:r>
    </w:p>
    <w:p>
      <w:pPr>
        <w:spacing w:after="60"/>
        <w:ind w:left="720" w:hanging="360"/>
      </w:pPr>
      <w:r>
        <w:t xml:space="preserve">•</w:t>
      </w:r>
      <w:r>
        <w:tab/>
      </w:r>
      <w:r>
        <w:rPr>
          <w:b/>
        </w:rPr>
        <w:t xml:space="preserve">AI Digital Asset</w:t>
      </w:r>
      <w:r>
        <w:t xml:space="preserve"> — the ownership-and-lifecycle-management record created at intake, and the closest confirmed analog to this method's inventory record. For an AI system or use case, the table is </w:t>
      </w:r>
      <w:r>
        <w:rPr>
          <w:rFonts w:ascii="Consolas" w:hAnsi="Consolas"/>
          <w:b/>
        </w:rPr>
        <w:t xml:space="preserve">alm_ai_system_digital_asset</w:t>
      </w:r>
      <w:r>
        <w:t xml:space="preserve"> (siblings: </w:t>
      </w:r>
      <w:r>
        <w:rPr>
          <w:rFonts w:ascii="Consolas" w:hAnsi="Consolas"/>
        </w:rPr>
        <w:t xml:space="preserve">alm_ai_model_digital_asset</w:t>
      </w:r>
      <w:r>
        <w:t xml:space="preserve">, </w:t>
      </w:r>
      <w:r>
        <w:rPr>
          <w:rFonts w:ascii="Consolas" w:hAnsi="Consolas"/>
        </w:rPr>
        <w:t xml:space="preserve">alm_ai_prompt_digital_asset</w:t>
      </w:r>
      <w:r>
        <w:t xml:space="preserve">, </w:t>
      </w:r>
      <w:r>
        <w:rPr>
          <w:rFonts w:ascii="Consolas" w:hAnsi="Consolas"/>
        </w:rPr>
        <w:t xml:space="preserve">alm_ai_dataset_digital_asset</w:t>
      </w:r>
      <w:r>
        <w:t xml:space="preserve">, </w:t>
      </w:r>
      <w:r>
        <w:rPr>
          <w:rFonts w:ascii="Consolas" w:hAnsi="Consolas"/>
        </w:rPr>
        <w:t xml:space="preserve">alm_mcp_digital_asset</w:t>
      </w:r>
      <w:r>
        <w:t xml:space="preserve">).</w:t>
      </w:r>
    </w:p>
    <w:p>
      <w:pPr>
        <w:spacing w:after="60"/>
        <w:ind w:left="720" w:hanging="360"/>
      </w:pPr>
      <w:r>
        <w:t xml:space="preserve">•</w:t>
      </w:r>
      <w:r>
        <w:tab/>
      </w:r>
      <w:r>
        <w:rPr>
          <w:b/>
        </w:rPr>
        <w:t xml:space="preserve">Risk tier / governance attributes</w:t>
      </w:r>
      <w:r>
        <w:t xml:space="preserve"> — carried on the related table </w:t>
      </w:r>
      <w:r>
        <w:rPr>
          <w:rFonts w:ascii="Consolas" w:hAnsi="Consolas"/>
          <w:b/>
        </w:rPr>
        <w:t xml:space="preserve">sn_ai_governance_asset_governance_details</w:t>
      </w:r>
      <w:r>
        <w:t xml:space="preserve">, anchored to the Digital Asset. No specific field (column) name inside that table is confirmed anywhere fetched — only the table name.</w:t>
      </w:r>
    </w:p>
    <w:p>
      <w:pPr>
        <w:spacing w:after="60"/>
        <w:ind w:left="720" w:hanging="360"/>
      </w:pPr>
      <w:r>
        <w:t xml:space="preserve">•</w:t>
      </w:r>
      <w:r>
        <w:tab/>
      </w:r>
      <w:r>
        <w:rPr>
          <w:b/>
        </w:rPr>
        <w:t xml:space="preserve">Required controls</w:t>
      </w:r>
      <w:r>
        <w:t xml:space="preserve"> — no named field or table is confirmed; governance-detail and risk records are described only as generically linked to the Digital Asset, implying GRC control-objective records rather than a named field.</w:t>
      </w:r>
    </w:p>
    <w:p>
      <w:pPr>
        <w:spacing w:after="60"/>
        <w:ind w:left="720" w:hanging="360"/>
      </w:pPr>
      <w:r>
        <w:t xml:space="preserve">•</w:t>
      </w:r>
      <w:r>
        <w:tab/>
      </w:r>
      <w:r>
        <w:rPr>
          <w:b/>
        </w:rPr>
        <w:t xml:space="preserve">AI Configuration Item (CI)</w:t>
      </w:r>
      <w:r>
        <w:t xml:space="preserve"> — the deployment record: </w:t>
      </w:r>
      <w:r>
        <w:rPr>
          <w:rFonts w:ascii="Consolas" w:hAnsi="Consolas"/>
        </w:rPr>
        <w:t xml:space="preserve">cmdb_ci_function_ai</w:t>
      </w:r>
      <w:r>
        <w:t xml:space="preserve">, </w:t>
      </w:r>
      <w:r>
        <w:rPr>
          <w:rFonts w:ascii="Consolas" w:hAnsi="Consolas"/>
        </w:rPr>
        <w:t xml:space="preserve">cmdb_ci_appl_ai_application</w:t>
      </w:r>
      <w:r>
        <w:t xml:space="preserve">, </w:t>
      </w:r>
      <w:r>
        <w:rPr>
          <w:rFonts w:ascii="Consolas" w:hAnsi="Consolas"/>
        </w:rPr>
        <w:t xml:space="preserve">cmdb_ci_function_mcp</w:t>
      </w:r>
      <w:r>
        <w:t xml:space="preserve">, </w:t>
      </w:r>
      <w:r>
        <w:rPr>
          <w:rFonts w:ascii="Consolas" w:hAnsi="Consolas"/>
        </w:rPr>
        <w:t xml:space="preserve">cmdb_ci_ai_model_deployment</w:t>
      </w:r>
      <w:r>
        <w:t xml:space="preserve">, linked to assets via </w:t>
      </w:r>
      <w:r>
        <w:rPr>
          <w:rFonts w:ascii="Consolas" w:hAnsi="Consolas"/>
        </w:rPr>
        <w:t xml:space="preserve">cmdb_rel_asset_ci</w:t>
      </w:r>
      <w:r>
        <w:t xml:space="preserve">.</w:t>
      </w:r>
    </w:p>
    <w:p>
      <w:pPr>
        <w:spacing w:after="60"/>
        <w:ind w:left="720" w:hanging="360"/>
      </w:pPr>
      <w:r>
        <w:t xml:space="preserve">•</w:t>
      </w:r>
      <w:r>
        <w:tab/>
      </w:r>
      <w:r>
        <w:rPr>
          <w:b/>
        </w:rPr>
        <w:t xml:space="preserve">Intake record/form</w:t>
      </w:r>
      <w:r>
        <w:t xml:space="preserve"> — the </w:t>
      </w:r>
      <w:r>
        <w:rPr>
          <w:b/>
        </w:rPr>
        <w:t xml:space="preserve">"AI Use Case Intake Form,"</w:t>
      </w:r>
      <w:r>
        <w:t xml:space="preserve"> submitted via Employee Center → Technology Services → AI Assets (or the AICT Workspace, or REST API </w:t>
      </w:r>
      <w:r>
        <w:rPr>
          <w:rFonts w:ascii="Consolas" w:hAnsi="Consolas"/>
        </w:rPr>
        <w:t xml:space="preserve">POST /sn_ent/asset/ai_system</w:t>
      </w:r>
      <w:r>
        <w:t xml:space="preserve">). Submitting it auto-creates the Digital Asset (and the Product Model, if new).</w:t>
      </w:r>
    </w:p>
    <w:p>
      <w:pPr>
        <w:spacing w:after="60"/>
        <w:ind w:left="720" w:hanging="360"/>
      </w:pPr>
      <w:r>
        <w:t xml:space="preserve">•</w:t>
      </w:r>
      <w:r>
        <w:tab/>
      </w:r>
      <w:r>
        <w:rPr>
          <w:b/>
        </w:rPr>
        <w:t xml:space="preserve">Business Application link</w:t>
      </w:r>
      <w:r>
        <w:t xml:space="preserve"> — </w:t>
      </w:r>
      <w:r>
        <w:rPr>
          <w:rFonts w:ascii="Consolas" w:hAnsi="Consolas"/>
        </w:rPr>
        <w:t xml:space="preserve">sn_apm_ws_ba_product_model_map</w:t>
      </w:r>
      <w:r>
        <w:t xml:space="preserve">, attaching an AI capability to a Business Application at intake.</w:t>
      </w:r>
    </w:p>
    <w:p>
      <w:r>
        <w:t xml:space="preserve">Separately, ServiceNow's own official documentation names </w:t>
      </w:r>
      <w:r>
        <w:rPr>
          <w:b/>
        </w:rPr>
        <w:t xml:space="preserve">UI-level</w:t>
      </w:r>
      <w:r>
        <w:t xml:space="preserve"> objects in AI Control Tower's home page: an "AI asset inventory" tab, and a "Risk and compliance" tab that classifies AI systems, models, and datasets into High, Medium, Low, and Unacceptable risk categories, tracked against the NIST AI RMF and the EU AI Act — confirming risk tiering as a real, named UI surface, consistent with (but not the same confirmation strength as) the </w:t>
      </w:r>
      <w:r>
        <w:rPr>
          <w:rFonts w:ascii="Consolas" w:hAnsi="Consolas"/>
        </w:rPr>
        <w:t xml:space="preserve">sn_ai_governance_asset_governance_details</w:t>
      </w:r>
      <w:r>
        <w:t xml:space="preserve"> table above.</w:t>
      </w:r>
    </w:p>
    <w:p>
      <w:r>
        <w:t xml:space="preserve">Within IRM, AI-specific assessment work is increasingly handled by </w:t>
      </w:r>
      <w:r>
        <w:rPr>
          <w:b/>
        </w:rPr>
        <w:t xml:space="preserve">ServiceNow Otto for IRM</w:t>
      </w:r>
      <w:r>
        <w:t xml:space="preserve"> (the current name for what earlier release material called "Now Assist for IRM," confirmed on a live docs page). Its documentation names two specific AI agents: a </w:t>
      </w:r>
      <w:r>
        <w:rPr>
          <w:b/>
        </w:rPr>
        <w:t xml:space="preserve">"Report a GRC issue" AI agent</w:t>
      </w:r>
      <w:r>
        <w:t xml:space="preserve">, which walks a user through reporting a governance, risk, or compliance issue and suggests relevant controls, entities, and policies before submission; and a </w:t>
      </w:r>
      <w:r>
        <w:rPr>
          <w:b/>
        </w:rPr>
        <w:t xml:space="preserve">Control Objective Change Agent</w:t>
      </w:r>
      <w:r>
        <w:t xml:space="preserve">, which lets a user review and update impacted control objectives against the latest citation details. Neither of these is an AI-intake-specific form. Treat AI Control Tower as the product surface this method's steps would run inside, and IRM's assessment and risk-register capabilities as the mechanism for this method's control list and risk-register entry.</w:t>
      </w:r>
    </w:p>
    <w:p>
      <w:r>
        <w:t xml:space="preserve">ServiceNow's own IRM product page (</w:t>
      </w:r>
      <w:r>
        <w:rPr>
          <w:rFonts w:ascii="Consolas" w:hAnsi="Consolas"/>
        </w:rPr>
        <w:t xml:space="preserve">servicenow.com/products/integrated-risk-management.html</w:t>
      </w:r>
      <w:r>
        <w:t xml:space="preserve">) and its AI Control Tower product page (</w:t>
      </w:r>
      <w:r>
        <w:rPr>
          <w:rFonts w:ascii="Consolas" w:hAnsi="Consolas"/>
        </w:rPr>
        <w:t xml:space="preserve">servicenow.com/products/ai-control-tower.html</w:t>
      </w:r>
      <w:r>
        <w:t xml:space="preserve">) return connection errors to a direct, automated fetch, but both are readable through the Internet Archive's Wayback Machine, which holds snapshots from September 2026. A named AI Control Tower solution-brief PDF could not be retrieved by any method tried, including the Wayback Machine, which has no archived copy of it; ServiceNow's own press release describing the same AI Control Tower capabilities (Discover, Observe, Govern, Secure, Measure), issued through its investor-relations newswire, is a reachable substitute for the solution brief's content.</w:t>
      </w:r>
    </w:p>
    <w:p>
      <w:pPr>
        <w:pStyle w:val="Heading2"/>
      </w:pPr>
      <w:r>
        <w:t xml:space="preserve">Flexera One: surfacing AI software and SaaS usage</w:t>
      </w:r>
    </w:p>
    <w:p>
      <w:r>
        <w:t xml:space="preserve">Flexera merged its own and Snow's SaaS management products into a single </w:t>
      </w:r>
      <w:r>
        <w:rPr>
          <w:b/>
        </w:rPr>
        <w:t xml:space="preserve">Flexera One SaaS Management</w:t>
      </w:r>
      <w:r>
        <w:t xml:space="preserve"> offering, which Flexera's press material frames explicitly around </w:t>
      </w:r>
      <w:r>
        <w:rPr>
          <w:b/>
        </w:rPr>
        <w:t xml:space="preserve">shadow AI</w:t>
      </w:r>
      <w:r>
        <w:t xml:space="preserve">: unsanctioned or unlicensed AI tools in use without governance visibility. Discovery runs through what Flexera's press release calls a </w:t>
      </w:r>
      <w:r>
        <w:rPr>
          <w:b/>
        </w:rPr>
        <w:t xml:space="preserve">Comprehensive Discovery Engine</w:t>
      </w:r>
      <w:r>
        <w:t xml:space="preserve">, combining Browser and Financial Discovery, an installed Agent, API connectors, CASB integration, and SSO connections — the same multi-source approach Flexera documents for its general SaaS and hybrid IT discovery, extended here to flag AI-powered applications and employee AI tool usage alongside ordinary SaaS.</w:t>
      </w:r>
    </w:p>
    <w:p>
      <w:r>
        <w:t xml:space="preserve">Flexera's own SaaS Management page describes this as helping an organization take control of AI usage by discovering where AI is used, assessing risk and cost, and checking usage against company policy — which is the discovery-and-risk-flagging step this method's supplier-and-provider identification step (checklist item 6) would draw on before intake proceeds. Separately, Flexera's current (2026) product line — Flexera One AI Cost Management (covering AI Apps &amp; Agents, AI Models &amp; Tokenomics, AI Data Cloud Management, AI Compute Management), SaaS Management, and Technopedia — provides AI discovery, spend tracking, and usage-policy-alignment features. Its AI Cost Management plan-comparison table lists a generic feature row, "Policy and governance," described as enforcing guardrails, approvals, and compliance — a feature category, not a named field or record. A generic, non-AI-specific approval-workflow engine exists separately in Flexera One's Commander module (for IT service and change requests); nothing in Flexera's documentation or marketing names an AI-specific use of that engine for AI intake. No Flexera product names a specific table, field, or record for an AI intake decision, an approval, or a risk-tier classification; Flexera's own public-sector guidance describes intake and risk-review processes as something an organization must build, not a feature Flexera ships. This method's inventory record (</w:t>
      </w:r>
      <w:r>
        <w:t xml:space="preserve">AI inventory record template</w:t>
      </w:r>
      <w:r>
        <w:t xml:space="preserve">) has no confirmed Flexera equivalent.</w:t>
      </w:r>
    </w:p>
    <w:p>
      <w:pPr>
        <w:pStyle w:val="Heading2"/>
      </w:pPr>
      <w:r>
        <w:t xml:space="preserve">What remains unconfirmed</w:t>
      </w:r>
    </w:p>
    <w:p>
      <w:pPr>
        <w:spacing w:after="60"/>
        <w:ind w:left="720" w:hanging="360"/>
      </w:pPr>
      <w:r>
        <w:t xml:space="preserve">•</w:t>
      </w:r>
      <w:r>
        <w:tab/>
      </w:r>
      <w:r>
        <w:t xml:space="preserve">The specific field/column name that stores risk tier inside </w:t>
      </w:r>
      <w:r>
        <w:rPr>
          <w:rFonts w:ascii="Consolas" w:hAnsi="Consolas"/>
        </w:rPr>
        <w:t xml:space="preserve">sn_ai_governance_asset_governance_details</w:t>
      </w:r>
      <w:r>
        <w:t xml:space="preserve"> (only the table name is confirmed), and any named field for "required controls."</w:t>
      </w:r>
    </w:p>
    <w:p>
      <w:pPr>
        <w:spacing w:after="60"/>
        <w:ind w:left="720" w:hanging="360"/>
      </w:pPr>
      <w:r>
        <w:t xml:space="preserve">•</w:t>
      </w:r>
      <w:r>
        <w:tab/>
      </w:r>
      <w:r>
        <w:t xml:space="preserve">Whether the ServiceNow-Community-sourced table names above match what an official field-level ServiceNow reference page would list; no such official schema-level page could be reached (official docs are JS-rendered and yielded only UI-level tab descriptions).</w:t>
      </w:r>
    </w:p>
    <w:p>
      <w:pPr>
        <w:spacing w:after="60"/>
        <w:ind w:left="720" w:hanging="360"/>
      </w:pPr>
      <w:r>
        <w:t xml:space="preserve">•</w:t>
      </w:r>
      <w:r>
        <w:tab/>
      </w:r>
      <w:r>
        <w:t xml:space="preserve">The content of the specific AI Control Tower solution-brief PDF named in earlier research — unreachable directly and with no archived copy found.</w:t>
      </w:r>
    </w:p>
    <w:p>
      <w:pPr>
        <w:pStyle w:val="Heading2"/>
      </w:pPr>
      <w:r>
        <w:t xml:space="preserve">Sources checked</w:t>
      </w:r>
    </w:p>
    <w:p>
      <w:pPr>
        <w:spacing w:after="60"/>
        <w:ind w:left="720" w:hanging="360"/>
      </w:pPr>
      <w:r>
        <w:t xml:space="preserve">•</w:t>
      </w:r>
      <w:r>
        <w:tab/>
      </w:r>
      <w:r>
        <w:t xml:space="preserve">Managing AI Risk Using NIST AI RMF and ServiceNow AI Control Tower — ServiceNow Community</w:t>
      </w:r>
      <w:r>
        <w:t xml:space="preserve"> (https://www.servicenow.com/community/now-assist-articles/managing-ai-risk-using-nist-ai-rmf-and-servicenow-ai-control/ta-p/3466409)</w:t>
      </w:r>
      <w:r>
        <w:t xml:space="preserve"> — AI Control Tower, the register/classify/assess/approve/monitor flow, and its mapping to NIST AI RMF's Govern/Map/Measure/Manage.</w:t>
      </w:r>
    </w:p>
    <w:p>
      <w:pPr>
        <w:spacing w:after="60"/>
        <w:ind w:left="720" w:hanging="360"/>
      </w:pPr>
      <w:r>
        <w:t xml:space="preserve">•</w:t>
      </w:r>
      <w:r>
        <w:tab/>
      </w:r>
      <w:r>
        <w:t xml:space="preserve">Understanding the AI Inventory Data Model in ServiceNow — ServiceNow Community</w:t>
      </w:r>
      <w:r>
        <w:t xml:space="preserve"> (https://www.servicenow.com/community/cmdb-blog/understanding-the-ai-inventory-data-model-in-servicenow-product/ba-p/3546771)</w:t>
      </w:r>
      <w:r>
        <w:t xml:space="preserve"> — fetched raw HTML directly; AI Product Model, AI Digital Asset (</w:t>
      </w:r>
      <w:r>
        <w:rPr>
          <w:rFonts w:ascii="Consolas" w:hAnsi="Consolas"/>
        </w:rPr>
        <w:t xml:space="preserve">alm_ai_system_digital_asset</w:t>
      </w:r>
      <w:r>
        <w:t xml:space="preserve">), </w:t>
      </w:r>
      <w:r>
        <w:rPr>
          <w:rFonts w:ascii="Consolas" w:hAnsi="Consolas"/>
        </w:rPr>
        <w:t xml:space="preserve">sn_ai_governance_asset_governance_details</w:t>
      </w:r>
      <w:r>
        <w:t xml:space="preserve">, AI Configuration Item tables.</w:t>
      </w:r>
    </w:p>
    <w:p>
      <w:pPr>
        <w:spacing w:after="60"/>
        <w:ind w:left="720" w:hanging="360"/>
      </w:pPr>
      <w:r>
        <w:t xml:space="preserve">•</w:t>
      </w:r>
      <w:r>
        <w:tab/>
      </w:r>
      <w:r>
        <w:t xml:space="preserve">AI Inventory Data Model in ServiceNow, how can we utilize in EA — ServiceNow Community</w:t>
      </w:r>
      <w:r>
        <w:t xml:space="preserve"> (https://www.servicenow.com/community/itom-forum/ai-inventory-data-model-in-servicenow-how-can-we-utilised-in/td-p/3572768)</w:t>
      </w:r>
      <w:r>
        <w:t xml:space="preserve"> — fetched raw HTML directly; confirms "AI Use Case Intake Form" and that the Digital Asset carries steward and risk-tier data.</w:t>
      </w:r>
    </w:p>
    <w:p>
      <w:pPr>
        <w:spacing w:after="60"/>
        <w:ind w:left="720" w:hanging="360"/>
      </w:pPr>
      <w:r>
        <w:t xml:space="preserve">•</w:t>
      </w:r>
      <w:r>
        <w:tab/>
      </w:r>
      <w:r>
        <w:t xml:space="preserve">AI agents in Now Assist for IRM — ServiceNow Docs</w:t>
      </w:r>
      <w:r>
        <w:t xml:space="preserve"> (https://www.servicenow.com/docs/r/governance-risk-compliance/grc-common-functions/standalone-ai-agents-in-risk-sustainability.html)</w:t>
      </w:r>
      <w:r>
        <w:t xml:space="preserve"> — confirms the current name ServiceNow Otto for IRM, and the "Report a GRC issue" and Control Objective Change agents.</w:t>
      </w:r>
    </w:p>
    <w:p>
      <w:pPr>
        <w:spacing w:after="60"/>
        <w:ind w:left="720" w:hanging="360"/>
      </w:pPr>
      <w:r>
        <w:t xml:space="preserve">•</w:t>
      </w:r>
      <w:r>
        <w:tab/>
      </w:r>
      <w:r>
        <w:t xml:space="preserve">Risk and compliance tab in AI Control Tower — ServiceNow Docs</w:t>
      </w:r>
      <w:r>
        <w:t xml:space="preserve"> (https://www.servicenow.com/docs/r/intelligent-experiences/ai-control-tower/risk-compliance-tab-aict.html)</w:t>
      </w:r>
      <w:r>
        <w:t xml:space="preserve"> — the Risk and compliance tab and its High/Medium/Low/Unacceptable classification.</w:t>
      </w:r>
    </w:p>
    <w:p>
      <w:pPr>
        <w:spacing w:after="60"/>
        <w:ind w:left="720" w:hanging="360"/>
      </w:pPr>
      <w:r>
        <w:t xml:space="preserve">•</w:t>
      </w:r>
      <w:r>
        <w:tab/>
      </w:r>
      <w:r>
        <w:t xml:space="preserve">AI Control Tower Home page — ServiceNow Docs</w:t>
      </w:r>
      <w:r>
        <w:t xml:space="preserve"> (https://www.servicenow.com/docs/r/intelligent-experiences/ai-control-tower/ai-control-tower-home-page.html)</w:t>
      </w:r>
      <w:r>
        <w:t xml:space="preserve"> — the "AI asset inventory" and "Risk and compliance" tabs.</w:t>
      </w:r>
    </w:p>
    <w:p>
      <w:pPr>
        <w:spacing w:after="60"/>
        <w:ind w:left="720" w:hanging="360"/>
      </w:pPr>
      <w:r>
        <w:t xml:space="preserve">•</w:t>
      </w:r>
      <w:r>
        <w:tab/>
      </w:r>
      <w:r>
        <w:t xml:space="preserve">Integrated Risk Management (IRM) product page — ServiceNow, Wayback Machine snapshot (2026-09-03)</w:t>
      </w:r>
      <w:r>
        <w:t xml:space="preserve"> (http://web.archive.org/web/20260903003523/https://www.servicenow.com/products/integrated-risk-management.html)</w:t>
      </w:r>
      <w:r>
        <w:t xml:space="preserve"> — product positioning; no AI-specific content in the page body.</w:t>
      </w:r>
    </w:p>
    <w:p>
      <w:pPr>
        <w:spacing w:after="60"/>
        <w:ind w:left="720" w:hanging="360"/>
      </w:pPr>
      <w:r>
        <w:t xml:space="preserve">•</w:t>
      </w:r>
      <w:r>
        <w:tab/>
      </w:r>
      <w:r>
        <w:t xml:space="preserve">AI Control Tower product page — ServiceNow, Wayback Machine snapshot (2026-09-20)</w:t>
      </w:r>
      <w:r>
        <w:t xml:space="preserve"> (http://web.archive.org/web/20260920152352/https://www.servicenow.com/products/ai-control-tower.html)</w:t>
      </w:r>
      <w:r>
        <w:t xml:space="preserve"> — the five capability pillars (Discover, Observe, Govern, Secure, Measure) and the auto-discovery/unified-inventory FAQ line.</w:t>
      </w:r>
    </w:p>
    <w:p>
      <w:pPr>
        <w:spacing w:after="60"/>
        <w:ind w:left="720" w:hanging="360"/>
      </w:pPr>
      <w:r>
        <w:t xml:space="preserve">•</w:t>
      </w:r>
      <w:r>
        <w:tab/>
      </w:r>
      <w:r>
        <w:t xml:space="preserve">ServiceNow expands AI Control Tower — ServiceNow press release, investor-relations CDN</w:t>
      </w:r>
      <w:r>
        <w:t xml:space="preserve"> (https://s205.q4cdn.com/537566246/files/doc_news/ServiceNow-expands-AI-Control-Tower-to-discover-observe-govern-secure-and-measure-AI-deployed-across-any-system-in-the-enterprise-2026.pdf)</w:t>
      </w:r>
      <w:r>
        <w:t xml:space="preserve"> — the same five pillars and five NIST/EU-AI-Act-aligned risk frameworks, in ServiceNow's own words.</w:t>
      </w:r>
    </w:p>
    <w:p>
      <w:pPr>
        <w:spacing w:after="60"/>
        <w:ind w:left="720" w:hanging="360"/>
      </w:pPr>
      <w:r>
        <w:t xml:space="preserve">•</w:t>
      </w:r>
      <w:r>
        <w:tab/>
      </w:r>
      <w:r>
        <w:t xml:space="preserve">Flexera One AI Cost Management</w:t>
      </w:r>
      <w:r>
        <w:t xml:space="preserve"> (https://www.flexera.com/products/ai-cost-management)</w:t>
      </w:r>
      <w:r>
        <w:t xml:space="preserve"> — the AI Apps &amp; Agents / AI Models &amp; Tokenomics / AI Data Cloud Management / AI Compute Management areas and the generic "Policy and governance" plan row.</w:t>
      </w:r>
    </w:p>
    <w:p>
      <w:pPr>
        <w:spacing w:after="60"/>
        <w:ind w:left="720" w:hanging="360"/>
      </w:pPr>
      <w:r>
        <w:t xml:space="preserve">•</w:t>
      </w:r>
      <w:r>
        <w:tab/>
      </w:r>
      <w:r>
        <w:t xml:space="preserve">Flexera One SaaS Management</w:t>
      </w:r>
      <w:r>
        <w:t xml:space="preserve"> (https://www.flexera.com/products/flexera-one/saas-management)</w:t>
      </w:r>
      <w:r>
        <w:t xml:space="preserve"> — AI usage discovery and policy-alignment framing.</w:t>
      </w:r>
    </w:p>
    <w:p>
      <w:pPr>
        <w:spacing w:after="60"/>
        <w:ind w:left="720" w:hanging="360"/>
      </w:pPr>
      <w:r>
        <w:t xml:space="preserve">•</w:t>
      </w:r>
      <w:r>
        <w:tab/>
      </w:r>
      <w:r>
        <w:t xml:space="preserve">Flexera Launches New Unified SaaS Management Solution to Improve Visibility for Shadow AI — Flexera press release</w:t>
      </w:r>
      <w:r>
        <w:t xml:space="preserve"> (https://www.flexera.com/about-us/press-center/flexera-launches-new-saas-management-solution)</w:t>
      </w:r>
      <w:r>
        <w:t xml:space="preserve"> — the merged Flexera One SaaS Management product and its Comprehensive Discovery Engine.</w:t>
      </w:r>
    </w:p>
    <w:p>
      <w:pPr>
        <w:spacing w:after="60"/>
        <w:ind w:left="720" w:hanging="360"/>
      </w:pPr>
      <w:r>
        <w:t xml:space="preserve">•</w:t>
      </w:r>
      <w:r>
        <w:tab/>
      </w:r>
      <w:r>
        <w:t xml:space="preserve">5 AI best practices for public sector organizations — Flexera blog</w:t>
      </w:r>
      <w:r>
        <w:t xml:space="preserve"> (https://www.flexera.com/blog/ai/public-sector-ai-governance-visibility/)</w:t>
      </w:r>
      <w:r>
        <w:t xml:space="preserve"> — intake, risk-review, and inventory discipline framed as agency-built practice, not a Flexera feature.</w:t>
      </w:r>
    </w:p>
    <w:p>
      <w:r>
        <w:t xml:space="preserve">Two pages named in earlier research were unreachable to a direct fetch but readable via an archived snapshot: ServiceNow's IRM product page and its AI Control Tower product page (both </w:t>
      </w:r>
      <w:r>
        <w:rPr>
          <w:rFonts w:ascii="Consolas" w:hAnsi="Consolas"/>
        </w:rPr>
        <w:t xml:space="preserve">servicenow.com/products/...</w:t>
      </w:r>
      <w:r>
        <w:t xml:space="preserve">, connection errors on direct fetch; readable via the Wayback Machine snapshots cited above). The named AI Control Tower solution-brief PDF could not be retrieved by any method tried and has no Wayback Machine snapshot. Everything else above comes from a page that loaded directly.</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