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Platform guide: Access review pack</w:t>
      </w:r>
    </w:p>
    <w:p>
      <w:r>
        <w:t xml:space="preserve">Where the fields this tool uses live in ServiceNow's GRC attestation capability, and in Flexera One. Where no source names a module, table, or field, that is stated as a gap rather than guessed.</w:t>
      </w:r>
    </w:p>
    <w:p>
      <w:pPr>
        <w:pStyle w:val="Heading2"/>
      </w:pPr>
      <w:r>
        <w:t xml:space="preserve">ServiceNow: access certification through Policy and Compliance Management attestations</w:t>
      </w:r>
    </w:p>
    <w:p>
      <w:r>
        <w:t xml:space="preserve">ServiceNow's own access-certification capability sits inside </w:t>
      </w:r>
      <w:r>
        <w:rPr>
          <w:b/>
        </w:rPr>
        <w:t xml:space="preserve">Policy and Compliance Management</w:t>
      </w:r>
      <w:r>
        <w:t xml:space="preserve">, part of its Integrated Risk Management (IRM) product line, and is driven by </w:t>
      </w:r>
      <w:r>
        <w:rPr>
          <w:b/>
        </w:rPr>
        <w:t xml:space="preserve">control attestations</w:t>
      </w:r>
      <w:r>
        <w:t xml:space="preserve"> rather than a standalone "access review" object. ServiceNow's own documentation confirms the structure directly: the Control Objectives module is the main hub of the Policy and Compliance Management application; a </w:t>
      </w:r>
      <w:r>
        <w:rPr>
          <w:b/>
        </w:rPr>
        <w:t xml:space="preserve">Control</w:t>
      </w:r>
      <w:r>
        <w:t xml:space="preserve"> is a specific implementation of a control objective; an </w:t>
      </w:r>
      <w:r>
        <w:rPr>
          <w:b/>
        </w:rPr>
        <w:t xml:space="preserve">Entity</w:t>
      </w:r>
      <w:r>
        <w:t xml:space="preserve"> is a person, process, department, application, or object whose risk exposure must be managed and monitored; and </w:t>
      </w:r>
      <w:r>
        <w:rPr>
          <w:b/>
        </w:rPr>
        <w:t xml:space="preserve">Attestation</w:t>
      </w:r>
      <w:r>
        <w:t xml:space="preserve"> assesses the control to continuously monitor its compliance. No backing table name is given for any of these records. The setup pattern a ServiceNow Community thread describes for running a user access review: create a </w:t>
      </w:r>
      <w:r>
        <w:rPr>
          <w:b/>
        </w:rPr>
        <w:t xml:space="preserve">Control Objective</w:t>
      </w:r>
      <w:r>
        <w:t xml:space="preserve"> and link it to the </w:t>
      </w:r>
      <w:r>
        <w:rPr>
          <w:b/>
        </w:rPr>
        <w:t xml:space="preserve">Entity Type</w:t>
      </w:r>
      <w:r>
        <w:t xml:space="preserve"> being reviewed (for example, users holding access to a given system); that generates one </w:t>
      </w:r>
      <w:r>
        <w:rPr>
          <w:b/>
        </w:rPr>
        <w:t xml:space="preserve">Control</w:t>
      </w:r>
      <w:r>
        <w:t xml:space="preserve"> per entity, and each control routes an </w:t>
      </w:r>
      <w:r>
        <w:rPr>
          <w:b/>
        </w:rPr>
        <w:t xml:space="preserve">Attestation</w:t>
      </w:r>
      <w:r>
        <w:t xml:space="preserve"> to its named </w:t>
      </w:r>
      <w:r>
        <w:rPr>
          <w:b/>
        </w:rPr>
        <w:t xml:space="preserve">Control Owner</w:t>
      </w:r>
      <w:r>
        <w:t xml:space="preserve">, who confirms the access is still needed and attaches their decision as evidence.</w:t>
      </w:r>
    </w:p>
    <w:p>
      <w:r>
        <w:t xml:space="preserve">Evidence collection runs one of two ways. A </w:t>
      </w:r>
      <w:r>
        <w:rPr>
          <w:b/>
        </w:rPr>
        <w:t xml:space="preserve">Manual Indicator</w:t>
      </w:r>
      <w:r>
        <w:t xml:space="preserve"> is used to gather the control owner's response as evidence by hand. Where ServiceNow has been connected to an identity and access management (IAM) solution, an </w:t>
      </w:r>
      <w:r>
        <w:rPr>
          <w:b/>
        </w:rPr>
        <w:t xml:space="preserve">Automated Indicator</w:t>
      </w:r>
      <w:r>
        <w:t xml:space="preserve"> can instead continuously monitor the control, which is the mechanism this method's account-to-person matching maps onto: the account and person data behind an automated indicator's continuous check is expected to come from that connected IAM system, not from a table inside ServiceNow itself. No ServiceNow documentation names a specific field or table that stores the account-to-person match this method's step 3 performs; the Attestation and Control Owner objects above are what carries the </w:t>
      </w:r>
      <w:r>
        <w:rPr>
          <w:i/>
        </w:rPr>
        <w:t xml:space="preserve">decision</w:t>
      </w:r>
      <w:r>
        <w:t xml:space="preserve">, not the underlying account export.</w:t>
      </w:r>
    </w:p>
    <w:p>
      <w:r>
        <w:t xml:space="preserve">ServiceNow does not natively ship a standalone identity-governance or access-certification module beyond Policy and Compliance Management's attestations; full identity-governance workflows (for example, certification campaigns run against an identity warehouse) are delivered by third-party apps such as Saviynt's ServiceNow Store integration, not by ServiceNow itself.</w:t>
      </w:r>
    </w:p>
    <w:p>
      <w:r>
        <w:t xml:space="preserve">The Control Objective / Entity Type / Control / Control Owner / Attestation / Manual Indicator / Automated Indicator terminology above comes from a ServiceNow Community discussion, cross-checked against ServiceNow's own structural-overview and entity-definition documentation, and matches the vocabulary used across ServiceNow's GRC release notes.</w:t>
      </w:r>
    </w:p>
    <w:p>
      <w:pPr>
        <w:pStyle w:val="Heading2"/>
      </w:pPr>
      <w:r>
        <w:t xml:space="preserve">Flexera One: application usage data for dormant access</w:t>
      </w:r>
    </w:p>
    <w:p>
      <w:r>
        <w:t xml:space="preserve">Flexera One's SaaS Management surfaces the usage evidence this method's dormant-access check (no login in 90 days) would draw on. Flexera states it can </w:t>
      </w:r>
      <w:r>
        <w:rPr>
          <w:b/>
        </w:rPr>
        <w:t xml:space="preserve">identify underused licenses</w:t>
      </w:r>
      <w:r>
        <w:t xml:space="preserve"> and find downgrade opportunities from bundled subscriptions, built on </w:t>
      </w:r>
      <w:r>
        <w:rPr>
          <w:b/>
        </w:rPr>
        <w:t xml:space="preserve">detailed usage insights</w:t>
      </w:r>
      <w:r>
        <w:t xml:space="preserve"> drawn from multiple discovery methods — financial data, API connectors including a Universal Connector, a browser extension, and connections to SSO and CASB technologies — covering both sanctioned and unsanctioned (shadow) applications. The product combines application usage, spend, and contract information to recommend right-sizing licenses and eliminating unused applications.</w:t>
      </w:r>
    </w:p>
    <w:p>
      <w:r>
        <w:t xml:space="preserve">Flexera One's SaaS Management Users Tab has a named column, </w:t>
      </w:r>
      <w:r>
        <w:rPr>
          <w:b/>
        </w:rPr>
        <w:t xml:space="preserve">Days Since Last Activity</w:t>
      </w:r>
      <w:r>
        <w:t xml:space="preserve">, which reports "Never Active" for accounts with no recorded login — the threshold is 60 days without login, or 30 days when an application is first integrated — the closest named equivalent to this method's </w:t>
      </w:r>
      <w:r>
        <w:rPr>
          <w:rFonts w:ascii="Consolas" w:hAnsi="Consolas"/>
        </w:rPr>
        <w:t xml:space="preserve">last_login</w:t>
      </w:r>
      <w:r>
        <w:t xml:space="preserve"> column. Flexera's documentation site (</w:t>
      </w:r>
      <w:r>
        <w:rPr>
          <w:rFonts w:ascii="Consolas" w:hAnsi="Consolas"/>
        </w:rPr>
        <w:t xml:space="preserve">docs.flexera.com/...</w:t>
      </w:r>
      <w:r>
        <w:t xml:space="preserve">) does not return readable content to a direct automated fetch, so the column name above is sourced from a search-engine-indexed excerpt of the Flexera-authored page rather than a direct fetch; everything else in this section comes from Flexera's own marketing page, which did load.</w:t>
      </w:r>
    </w:p>
    <w:p>
      <w:pPr>
        <w:pStyle w:val="Heading2"/>
      </w:pPr>
      <w:r>
        <w:t xml:space="preserve">Sources checked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Access Reviews in P&amp;C — ServiceNow Community</w:t>
      </w:r>
      <w:r>
        <w:t xml:space="preserve"> (https://www.servicenow.com/community/grc-forum/access-reviews-in-p-amp-c/m-p/2342369)</w:t>
      </w:r>
      <w:r>
        <w:t xml:space="preserve"> — Control Objective, Entity Type, Control, Control Owner, Attestation, Manual Indicator, Automated Indicator, and the connected-IAM-solution route to continuous monitoring.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Policy and Compliance Management structural overview — ServiceNow Docs, Xanadu</w:t>
      </w:r>
      <w:r>
        <w:t xml:space="preserve"> (https://www.servicenow.com/docs/r/xanadu/governance-risk-compliance/policy-and-compliance-management/pc-structural-overview-policy-comp.html)</w:t>
      </w:r>
      <w:r>
        <w:t xml:space="preserve"> — Control Objectives module, Control, and Attestation definitions.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What is an Entity? — ServiceNow Docs (GRC common functions), Washington DC</w:t>
      </w:r>
      <w:r>
        <w:t xml:space="preserve"> (https://www.servicenow.com/docs/r/washingtondc/governance-risk-compliance/grc-common-functions/what-is-an-entity.html)</w:t>
      </w:r>
      <w:r>
        <w:t xml:space="preserve"> — Entity and Entity Type definitions.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Identity governance on ServiceNow — Saviynt blog</w:t>
      </w:r>
      <w:r>
        <w:t xml:space="preserve"> (https://saviynt.com/blog/identity-governance-servicenow)</w:t>
      </w:r>
      <w:r>
        <w:t xml:space="preserve"> (search-confirmed; not independently fetched) — the third-party, partner-built route to full access-certification workflows.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Optimize SaaS spend and utilization with Flexera One SaaS Management — Flexera</w:t>
      </w:r>
      <w:r>
        <w:t xml:space="preserve"> (https://www.flexera.com/products/flexera-one/saas-management)</w:t>
      </w:r>
      <w:r>
        <w:t xml:space="preserve"> — underused-license identification, multi-source discovery (financial data, API connectors, browser extension, SSO/CASB), usage-and-spend-based optimization recommendations.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SaaS Management Users Tab reference — Flexera Docs</w:t>
      </w:r>
      <w:r>
        <w:t xml:space="preserve"> (https://docs.flexera.com/flexera-one/saas/saas-manager/saas-management-user-interface-reference/saas-application-details/users-tab)</w:t>
      </w:r>
      <w:r>
        <w:t xml:space="preserve"> (search-indexed excerpt only; direct fetch returns 403) — the "Days Since Last Activity" column.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Tracking user activity — Flexera Docs</w:t>
      </w:r>
      <w:r>
        <w:t xml:space="preserve"> (https://docs.flexera.com/flexera-one/saas/saas-manager/managing-saas-applications/tracking-user-activity)</w:t>
      </w:r>
      <w:r>
        <w:t xml:space="preserve"> (search-indexed excerpt only; direct fetch returns 403) — the 60-day ("Never Active") / 30-day (first integration) thresholds.</w:t>
      </w:r>
    </w:p>
    <w:p>
      <w:r>
        <w:t xml:space="preserve">ServiceNow's own IRM product page (</w:t>
      </w:r>
      <w:r>
        <w:rPr>
          <w:rFonts w:ascii="Consolas" w:hAnsi="Consolas"/>
        </w:rPr>
        <w:t xml:space="preserve">servicenow.com/products/integrated-risk-management.html</w:t>
      </w:r>
      <w:r>
        <w:t xml:space="preserve">) does not return readable content to an automated fetch. Flexera's documentation site (</w:t>
      </w:r>
      <w:r>
        <w:rPr>
          <w:rFonts w:ascii="Consolas" w:hAnsi="Consolas"/>
        </w:rPr>
        <w:t xml:space="preserve">docs.flexera.com/...</w:t>
      </w:r>
      <w:r>
        <w:t xml:space="preserve">) does not return readable content to a direct automated fetch on any page tried, including the Users Tab and activity-tracking references cited above by search-indexed excerpt. Everything else above comes from a page that loaded.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